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DD196E" w:rsidTr="00DD196E">
        <w:trPr>
          <w:cantSplit/>
          <w:trHeight w:val="1985"/>
        </w:trPr>
        <w:tc>
          <w:tcPr>
            <w:tcW w:w="4111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</w:rPr>
              <w:t>?О</w:t>
            </w:r>
            <w:proofErr w:type="gramEnd"/>
            <w:r>
              <w:rPr>
                <w:b/>
                <w:sz w:val="24"/>
                <w:szCs w:val="24"/>
              </w:rPr>
              <w:t>РТОСТАН РЕСПУБЛИКАҺЫ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;АФУРИ РАЙОНЫ МУНИЦИПАЛЬ РАЙОНЫ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195" cy="10236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DD196E" w:rsidRDefault="00DD196E" w:rsidP="00DD196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DD196E" w:rsidTr="00DD196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196E" w:rsidRDefault="00DD19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196E" w:rsidRDefault="00DD196E" w:rsidP="00DD19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D196E" w:rsidRDefault="00DD196E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96E" w:rsidTr="00DD196E">
        <w:trPr>
          <w:trHeight w:val="385"/>
        </w:trPr>
        <w:tc>
          <w:tcPr>
            <w:tcW w:w="3190" w:type="dxa"/>
          </w:tcPr>
          <w:p w:rsidR="00DD196E" w:rsidRDefault="00DD1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ATimes" w:char="F04B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</w:t>
            </w:r>
          </w:p>
          <w:p w:rsidR="00DD196E" w:rsidRDefault="00DD196E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196E" w:rsidRDefault="00DD196E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D196E" w:rsidRDefault="00DD19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DD196E" w:rsidRDefault="00DD196E" w:rsidP="00DD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F5F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28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на 20</w:t>
      </w:r>
      <w:r w:rsidR="001E2F5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196E" w:rsidRDefault="00DD196E" w:rsidP="00DD1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 статьями 19, 65 Регламента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1E2F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созыва решил:</w:t>
      </w:r>
    </w:p>
    <w:p w:rsidR="00DD196E" w:rsidRDefault="00DD196E" w:rsidP="00DD1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1E2F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созыва на 20</w:t>
      </w:r>
      <w:r w:rsidR="00D302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DD196E" w:rsidRDefault="00DD196E" w:rsidP="00DD1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соблюдению Регламента Совета, статусу и этики депутатов.</w:t>
      </w:r>
    </w:p>
    <w:p w:rsidR="00DD196E" w:rsidRDefault="00DD196E" w:rsidP="00DD1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4C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D3029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302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0297">
        <w:rPr>
          <w:rFonts w:ascii="Times New Roman" w:hAnsi="Times New Roman" w:cs="Times New Roman"/>
          <w:sz w:val="28"/>
          <w:szCs w:val="28"/>
        </w:rPr>
        <w:t>3</w:t>
      </w:r>
      <w:r w:rsidR="009C41F5">
        <w:rPr>
          <w:rFonts w:ascii="Times New Roman" w:hAnsi="Times New Roman" w:cs="Times New Roman"/>
          <w:sz w:val="28"/>
          <w:szCs w:val="28"/>
        </w:rPr>
        <w:t>4</w:t>
      </w:r>
      <w:r w:rsidR="00D30297">
        <w:rPr>
          <w:rFonts w:ascii="Times New Roman" w:hAnsi="Times New Roman" w:cs="Times New Roman"/>
          <w:sz w:val="28"/>
          <w:szCs w:val="28"/>
        </w:rPr>
        <w:t>-13</w:t>
      </w:r>
      <w:r w:rsidR="009C41F5">
        <w:rPr>
          <w:rFonts w:ascii="Times New Roman" w:hAnsi="Times New Roman" w:cs="Times New Roman"/>
          <w:sz w:val="28"/>
          <w:szCs w:val="28"/>
        </w:rPr>
        <w:t>9</w:t>
      </w: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573"/>
        <w:tblW w:w="10542" w:type="dxa"/>
        <w:tblLook w:val="01E0" w:firstRow="1" w:lastRow="1" w:firstColumn="1" w:lastColumn="1" w:noHBand="0" w:noVBand="0"/>
      </w:tblPr>
      <w:tblGrid>
        <w:gridCol w:w="4599"/>
        <w:gridCol w:w="1966"/>
        <w:gridCol w:w="3977"/>
      </w:tblGrid>
      <w:tr w:rsidR="00DD196E" w:rsidTr="00DD196E">
        <w:trPr>
          <w:trHeight w:val="139"/>
        </w:trPr>
        <w:tc>
          <w:tcPr>
            <w:tcW w:w="4599" w:type="dxa"/>
          </w:tcPr>
          <w:p w:rsidR="00DD196E" w:rsidRDefault="00DD196E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tt-RU" w:eastAsia="en-US"/>
              </w:rPr>
            </w:pPr>
          </w:p>
        </w:tc>
        <w:tc>
          <w:tcPr>
            <w:tcW w:w="1966" w:type="dxa"/>
          </w:tcPr>
          <w:p w:rsidR="00DD196E" w:rsidRDefault="00DD196E">
            <w:pPr>
              <w:rPr>
                <w:rFonts w:ascii="Times New Roman" w:hAnsi="Times New Roman" w:cs="Times New Roman"/>
                <w:color w:val="FF6600"/>
                <w:sz w:val="26"/>
                <w:szCs w:val="26"/>
                <w:lang w:val="be-BY" w:eastAsia="en-US"/>
              </w:rPr>
            </w:pPr>
          </w:p>
        </w:tc>
        <w:tc>
          <w:tcPr>
            <w:tcW w:w="3977" w:type="dxa"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be-BY" w:eastAsia="en-US"/>
              </w:rPr>
            </w:pPr>
          </w:p>
        </w:tc>
      </w:tr>
    </w:tbl>
    <w:p w:rsidR="00DD196E" w:rsidRDefault="00DD196E" w:rsidP="00DD19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D196E" w:rsidRDefault="00DD196E" w:rsidP="00DD19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DD196E" w:rsidRDefault="00DD196E" w:rsidP="00DD196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</w:t>
      </w:r>
    </w:p>
    <w:p w:rsidR="00DD196E" w:rsidRDefault="00DD196E" w:rsidP="00DD196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DD196E" w:rsidRDefault="00DD196E" w:rsidP="00DD19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30297">
        <w:rPr>
          <w:rFonts w:ascii="Times New Roman" w:hAnsi="Times New Roman" w:cs="Times New Roman"/>
        </w:rPr>
        <w:t>1</w:t>
      </w:r>
      <w:r w:rsidR="005A74CE">
        <w:rPr>
          <w:rFonts w:ascii="Times New Roman" w:hAnsi="Times New Roman" w:cs="Times New Roman"/>
        </w:rPr>
        <w:t>9</w:t>
      </w:r>
      <w:r w:rsidR="00D30297">
        <w:rPr>
          <w:rFonts w:ascii="Times New Roman" w:hAnsi="Times New Roman" w:cs="Times New Roman"/>
        </w:rPr>
        <w:t xml:space="preserve"> января</w:t>
      </w:r>
      <w:r>
        <w:rPr>
          <w:rFonts w:ascii="Times New Roman" w:hAnsi="Times New Roman" w:cs="Times New Roman"/>
        </w:rPr>
        <w:t xml:space="preserve"> 20</w:t>
      </w:r>
      <w:r w:rsidR="001E2F5F">
        <w:rPr>
          <w:rFonts w:ascii="Times New Roman" w:hAnsi="Times New Roman" w:cs="Times New Roman"/>
        </w:rPr>
        <w:t>2</w:t>
      </w:r>
      <w:r w:rsidR="00D302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№ </w:t>
      </w:r>
      <w:r w:rsidR="00D30297">
        <w:rPr>
          <w:rFonts w:ascii="Times New Roman" w:hAnsi="Times New Roman" w:cs="Times New Roman"/>
        </w:rPr>
        <w:t>3</w:t>
      </w:r>
      <w:r w:rsidR="009C41F5">
        <w:rPr>
          <w:rFonts w:ascii="Times New Roman" w:hAnsi="Times New Roman" w:cs="Times New Roman"/>
        </w:rPr>
        <w:t>4</w:t>
      </w:r>
      <w:r w:rsidR="00D30297">
        <w:rPr>
          <w:rFonts w:ascii="Times New Roman" w:hAnsi="Times New Roman" w:cs="Times New Roman"/>
        </w:rPr>
        <w:t>-13</w:t>
      </w:r>
      <w:r w:rsidR="009C41F5">
        <w:rPr>
          <w:rFonts w:ascii="Times New Roman" w:hAnsi="Times New Roman" w:cs="Times New Roman"/>
        </w:rPr>
        <w:t>9</w:t>
      </w:r>
    </w:p>
    <w:p w:rsidR="00DD196E" w:rsidRDefault="00DD196E" w:rsidP="00DD1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D196E" w:rsidRDefault="00DD196E" w:rsidP="00DD19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96E" w:rsidRDefault="00DD196E" w:rsidP="00DD1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D196E" w:rsidRDefault="00DD196E" w:rsidP="00DD1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Совета сель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Бурлинский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 Республики Башкортостан</w:t>
      </w:r>
    </w:p>
    <w:p w:rsidR="00DD196E" w:rsidRDefault="00DD196E" w:rsidP="00DD1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1E2F5F">
        <w:rPr>
          <w:rFonts w:ascii="Times New Roman" w:hAnsi="Times New Roman" w:cs="Times New Roman"/>
          <w:b/>
          <w:sz w:val="26"/>
          <w:szCs w:val="26"/>
        </w:rPr>
        <w:t>2</w:t>
      </w:r>
      <w:r w:rsidR="00D3029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D196E" w:rsidRDefault="00DD196E" w:rsidP="00DD19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96E" w:rsidRDefault="00DD196E" w:rsidP="00DD19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text" w:tblpXSpec="center" w:tblpY="1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9"/>
        <w:gridCol w:w="4375"/>
        <w:gridCol w:w="2242"/>
        <w:gridCol w:w="2842"/>
      </w:tblGrid>
      <w:tr w:rsidR="00DD196E" w:rsidTr="00DD196E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Кто </w:t>
            </w:r>
          </w:p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вносит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исполнение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на заседании Совета</w:t>
            </w:r>
          </w:p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Совета  сель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по следующим вопросам</w:t>
            </w:r>
          </w:p>
        </w:tc>
      </w:tr>
      <w:tr w:rsidR="00DD196E" w:rsidTr="00DD196E">
        <w:trPr>
          <w:trHeight w:val="306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 w:rsidP="001E2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1.                                                                 1.  </w:t>
            </w:r>
            <w:r w:rsidR="001E2F5F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DD196E" w:rsidTr="001E2F5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главы сельского поселения о деятельности Совета и администрации  сель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в 20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и задачах по повышению ее эффективности в 20</w:t>
            </w:r>
            <w:r w:rsidR="001E2F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E2F5F" w:rsidTr="003B77BE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5F" w:rsidRDefault="001E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2.Февраль</w:t>
            </w:r>
          </w:p>
        </w:tc>
      </w:tr>
      <w:tr w:rsidR="00DD196E" w:rsidTr="001E2F5F">
        <w:trPr>
          <w:trHeight w:val="1171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</w:t>
            </w:r>
            <w:r w:rsidR="001E2F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2.2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участковый уполномоченный полиции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плане деятельности общественных организаций сельского поселения по работе с неблагополучными семьями 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общественных организаций сельского поселения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оформления земель сельскохозяйственного назначения, личного подсобного хозяйства и жилых домов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специалис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эксперт КУС МЗИО РБ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DD196E" w:rsidTr="00DD196E">
        <w:trPr>
          <w:trHeight w:val="332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3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МАРТ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за 20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депутата Совета сельского поселения о своей деятельности в избирательном округе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охране здоровья населения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терапевт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Красноусольской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ФАП 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постоянные комиссии, глава КФХ </w:t>
            </w:r>
          </w:p>
        </w:tc>
      </w:tr>
      <w:tr w:rsidR="00DD196E" w:rsidTr="00DD196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1E2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развития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</w:t>
            </w:r>
            <w:r w:rsidR="001E2F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1E2F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общественные организации, руководители организаций и учреждений, КФХ, ИП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АПРЕЛЬ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благоустройстве и санитарной очистке  населенных пунктов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плана «О подготовке населенных пунктов, хозяйственных построек, мостов и других сооружений сельского поселения к пропуску  паводка»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пастьбы скота на территории сельского поселения в 20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общественные организации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постоянные комиссии, сотрудники пожарных постов поселения, руководители организаций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</w:tr>
      <w:tr w:rsidR="001E2F5F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F5F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5F" w:rsidRDefault="001E2F5F" w:rsidP="00D30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7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-летию Победы в ВОВ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5F" w:rsidRDefault="001E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F5F" w:rsidRDefault="001E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DD196E" w:rsidTr="00DD196E">
        <w:trPr>
          <w:trHeight w:val="345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МАЙ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госинспектор-ведущий специалис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эксперт СТУ Минэкологии РБ(по согласованию) 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охране жизни людей на воде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сельского поселения за 1 квартал 20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.4.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развитии физической культуры, и массового спорта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DD196E" w:rsidTr="00DD196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о ходе выполнения муниципальных программ</w:t>
            </w:r>
          </w:p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ИЮНЬ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эффективному расходованию бюджетных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в 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 реализации решения Совета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профилактической работы с неблагополучными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семьями на территории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поселения, </w:t>
            </w:r>
          </w:p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профилактике правонарушений и преступности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</w:p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заготовке кормов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ИЮЛЬ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сельского поселения за 1 полугодие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организаций и учреждений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.3.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благоустройства населенных пунктов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обеспечении и о профилактике противопожарной безопасности населения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противопожарная служба сельского поселения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СЕНТЯБРЬ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сборе налога на имущество физических лиц и земельного налога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 _____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ОКТЯБРЬ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выполнения муниципальных программ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созданию условий для развития сельскохозяйственного производства в поселении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общественных организаций по работе с неблагополучными семьями и семьями группы риска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общественных организаций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 НОЯБРЬ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бюджета сельского поселения на 202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публичных слушаниях по проекту бюджета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участковый полиции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1E2F5F" w:rsidP="001E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D19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19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ДЕКАБРЬ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E2F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 Республики Башкортостан на 20</w:t>
            </w:r>
            <w:r w:rsidR="001E2F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</w:t>
            </w:r>
          </w:p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1E2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плане основных мероприятий Совета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 Республики Башкортостан на 202</w:t>
            </w:r>
            <w:r w:rsidR="001E2F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 Совета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  Деятельность постоянных комиссий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</w:t>
            </w:r>
          </w:p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планов и программ социально-экономического развития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района, бюджета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 района, в подготовке проектов решений Совета, внесения по ним замечаний и предложений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решений Совета, постоянных комиссий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Вопросы, выносимые на публичные слушания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 w:rsidP="00D30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бюджета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</w:t>
            </w:r>
            <w:r w:rsidR="00D302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r w:rsidR="00DD196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слушаний, специалист 1 категории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1E2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DD19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Устав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проведению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публичных слушаний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Работа депутатов в округах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на заседаниях Совета, работа в постоянных комиссиях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раза в 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Депутаты, постоянные комиссии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приема граждан</w:t>
            </w:r>
          </w:p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 и проведении торжественных мероприятий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неблагополучными семьями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</w:t>
            </w:r>
          </w:p>
        </w:tc>
      </w:tr>
      <w:tr w:rsidR="00DD196E" w:rsidTr="00DD196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и проверка исполнения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 проверка исполнения решений вышестоящих органов и собственных решений Совета  </w:t>
            </w:r>
          </w:p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постоянных комиссий 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D196E" w:rsidTr="00DD196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D196E" w:rsidRDefault="00DD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писем, заявлений и обращений граждан в Совет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196E" w:rsidRDefault="00DD1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</w:tbl>
    <w:p w:rsidR="0091686F" w:rsidRDefault="0091686F"/>
    <w:sectPr w:rsidR="0091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1E2F5F"/>
    <w:rsid w:val="002A7AC8"/>
    <w:rsid w:val="005A74CE"/>
    <w:rsid w:val="005B3161"/>
    <w:rsid w:val="0091686F"/>
    <w:rsid w:val="009C41F5"/>
    <w:rsid w:val="00D30297"/>
    <w:rsid w:val="00D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10</cp:revision>
  <dcterms:created xsi:type="dcterms:W3CDTF">2020-02-06T11:13:00Z</dcterms:created>
  <dcterms:modified xsi:type="dcterms:W3CDTF">2021-02-04T05:04:00Z</dcterms:modified>
</cp:coreProperties>
</file>