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DD196E" w:rsidTr="00DD196E">
        <w:trPr>
          <w:cantSplit/>
          <w:trHeight w:val="1985"/>
        </w:trPr>
        <w:tc>
          <w:tcPr>
            <w:tcW w:w="4111" w:type="dxa"/>
            <w:hideMark/>
          </w:tcPr>
          <w:p w:rsidR="00DD196E" w:rsidRDefault="006751A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ba-RU"/>
              </w:rPr>
              <w:t>К</w:t>
            </w:r>
            <w:r w:rsidR="00DD196E">
              <w:rPr>
                <w:b/>
                <w:sz w:val="24"/>
                <w:szCs w:val="24"/>
              </w:rPr>
              <w:t>ОРТОСТАН РЕСПУБЛИКАҺ</w:t>
            </w:r>
            <w:proofErr w:type="gramStart"/>
            <w:r w:rsidR="00DD196E">
              <w:rPr>
                <w:b/>
                <w:sz w:val="24"/>
                <w:szCs w:val="24"/>
              </w:rPr>
              <w:t>Ы</w:t>
            </w:r>
            <w:proofErr w:type="gramEnd"/>
          </w:p>
          <w:p w:rsidR="00DD196E" w:rsidRDefault="006751A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a-RU"/>
              </w:rPr>
              <w:t>Г</w:t>
            </w:r>
            <w:r w:rsidR="00DD196E">
              <w:rPr>
                <w:b/>
                <w:sz w:val="24"/>
                <w:szCs w:val="24"/>
              </w:rPr>
              <w:t>АФУРИ РАЙОНЫ МУНИЦИПАЛЬ РАЙОНЫ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195" cy="10236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DD196E" w:rsidRDefault="00DD196E" w:rsidP="00DD196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DD196E" w:rsidTr="00DD196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196E" w:rsidRDefault="00DD19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196E" w:rsidRDefault="00DD196E" w:rsidP="00DD19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D196E" w:rsidRDefault="00DD196E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 целью упорядочения наименований улиц, площадей и иных территорий в муниципальном образовании,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hyperlink w:anchor="P36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(Приложение).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утверждения.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1B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81B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урлы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30.12.</w:t>
      </w:r>
      <w:r w:rsidRPr="00881BA7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33-137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881BA7" w:rsidRPr="00881BA7" w:rsidRDefault="00881BA7" w:rsidP="00881B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30.12.</w:t>
      </w:r>
      <w:r w:rsidRPr="00881BA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33-137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соответствии с </w:t>
      </w:r>
      <w:hyperlink r:id="rId9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РФ, Федеральным </w:t>
      </w:r>
      <w:hyperlink r:id="rId11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81BA7">
        <w:rPr>
          <w:rFonts w:ascii="Calibri" w:eastAsia="Times New Roman" w:hAnsi="Calibri" w:cs="Calibri"/>
          <w:szCs w:val="20"/>
        </w:rPr>
        <w:t xml:space="preserve"> </w:t>
      </w:r>
      <w:r w:rsidRPr="00881BA7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14.01.1993 № 4292-1</w:t>
      </w:r>
      <w:proofErr w:type="gram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«Об увековечении памяти погибших  при защите Отечества», </w:t>
      </w:r>
      <w:hyperlink r:id="rId12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элементы планировочной структуры), служащие для их выделения и распознавания.</w:t>
      </w:r>
      <w:proofErr w:type="gramEnd"/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соответствии с </w:t>
      </w:r>
      <w:hyperlink w:anchor="P76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81BA7" w:rsidRPr="00881BA7" w:rsidRDefault="00881BA7" w:rsidP="00881B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утвержденного Советом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1BA7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81BA7" w:rsidRPr="00881BA7" w:rsidRDefault="00881BA7" w:rsidP="00881B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2. Основные требования, предъявляемые к наименованию улиц,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площадей и иных составных частей населенных пунктов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3. Основания присвоения наименований, порядок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их регистрации и учета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lastRenderedPageBreak/>
        <w:t>3.1.1. Отсутствие наименования элемента планировочной структуры в муниципальном образовании.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4. Порядок внесения предложений о присвоении наименований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(о переименовании) элементов планировочной структуры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76"/>
      <w:bookmarkEnd w:id="2"/>
      <w:r w:rsidRPr="00881BA7">
        <w:rPr>
          <w:rFonts w:ascii="Times New Roman" w:eastAsia="Times New Roman" w:hAnsi="Times New Roman" w:cs="Times New Roman"/>
          <w:sz w:val="28"/>
          <w:szCs w:val="28"/>
        </w:rPr>
        <w:t>4.1. Присвоение наименований элементам планировочной структуры в муниципальном образовании  и переименование соответствующих элементов планировочной структуры производится по предложению: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а) главы сельского поселения, главы Администрации муниципального района;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б) депутатов Совета муниципального района и сельского </w:t>
      </w:r>
      <w:r w:rsidRPr="00881BA7">
        <w:rPr>
          <w:rFonts w:ascii="Times New Roman" w:eastAsia="Times New Roman" w:hAnsi="Times New Roman" w:cs="Times New Roman"/>
          <w:color w:val="FF0000"/>
          <w:sz w:val="28"/>
          <w:szCs w:val="28"/>
        </w:rPr>
        <w:t>поселения;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881B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94"/>
      <w:bookmarkEnd w:id="3"/>
      <w:r w:rsidRPr="00881BA7">
        <w:rPr>
          <w:rFonts w:ascii="Times New Roman" w:eastAsia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муниципального образования внесли лица, чью память </w:t>
      </w:r>
      <w:r w:rsidRPr="00881BA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5. Порядок принятия решения о присвоении наименования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b/>
          <w:sz w:val="28"/>
          <w:szCs w:val="28"/>
        </w:rPr>
        <w:t>планировочной структуры)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881BA7" w:rsidRPr="00881BA7" w:rsidRDefault="00881BA7" w:rsidP="00881BA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A7">
        <w:rPr>
          <w:rFonts w:ascii="Times New Roman" w:eastAsia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881BA7" w:rsidRPr="00881BA7" w:rsidRDefault="00881BA7" w:rsidP="00881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A7" w:rsidRDefault="00881BA7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1BA7" w:rsidSect="00A44AC8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718"/>
    <w:multiLevelType w:val="hybridMultilevel"/>
    <w:tmpl w:val="89CCE818"/>
    <w:lvl w:ilvl="0" w:tplc="6ED8E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077BA2"/>
    <w:rsid w:val="000F6B19"/>
    <w:rsid w:val="001E2F5F"/>
    <w:rsid w:val="002A7AC8"/>
    <w:rsid w:val="00323BED"/>
    <w:rsid w:val="005B3161"/>
    <w:rsid w:val="00653926"/>
    <w:rsid w:val="006751A0"/>
    <w:rsid w:val="00767812"/>
    <w:rsid w:val="00881BA7"/>
    <w:rsid w:val="008D0D69"/>
    <w:rsid w:val="0091686F"/>
    <w:rsid w:val="009A0092"/>
    <w:rsid w:val="00A44AC8"/>
    <w:rsid w:val="00A57DBA"/>
    <w:rsid w:val="00BA1804"/>
    <w:rsid w:val="00BF0F21"/>
    <w:rsid w:val="00DD196E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84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5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840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840E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840E6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0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9A009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A0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9A00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40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40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840E6"/>
    <w:rPr>
      <w:rFonts w:ascii="Arial New Bash" w:eastAsia="Times New Roman" w:hAnsi="Arial New Bash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F840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840E6"/>
  </w:style>
  <w:style w:type="paragraph" w:styleId="a9">
    <w:name w:val="header"/>
    <w:basedOn w:val="a"/>
    <w:link w:val="aa"/>
    <w:rsid w:val="00F84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84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40E6"/>
  </w:style>
  <w:style w:type="paragraph" w:styleId="ac">
    <w:name w:val="footer"/>
    <w:basedOn w:val="a"/>
    <w:link w:val="ad"/>
    <w:rsid w:val="00F84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84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rsid w:val="00F840E6"/>
    <w:rPr>
      <w:strike w:val="0"/>
      <w:dstrike w:val="0"/>
      <w:color w:val="008000"/>
      <w:u w:val="none"/>
      <w:effect w:val="none"/>
    </w:rPr>
  </w:style>
  <w:style w:type="character" w:customStyle="1" w:styleId="30">
    <w:name w:val="Заголовок 3 Знак"/>
    <w:basedOn w:val="a0"/>
    <w:link w:val="3"/>
    <w:rsid w:val="006539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3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53926"/>
  </w:style>
  <w:style w:type="paragraph" w:customStyle="1" w:styleId="headertext">
    <w:name w:val="headertext"/>
    <w:basedOn w:val="a"/>
    <w:rsid w:val="006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5392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3926"/>
    <w:rPr>
      <w:color w:val="800080"/>
      <w:u w:val="single"/>
    </w:rPr>
  </w:style>
  <w:style w:type="character" w:customStyle="1" w:styleId="blk">
    <w:name w:val="blk"/>
    <w:basedOn w:val="a0"/>
    <w:rsid w:val="00653926"/>
  </w:style>
  <w:style w:type="paragraph" w:customStyle="1" w:styleId="ConsPlusNormal">
    <w:name w:val="ConsPlusNormal"/>
    <w:rsid w:val="00653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65392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653926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84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5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840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840E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840E6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0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9A009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A0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9A00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40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40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840E6"/>
    <w:rPr>
      <w:rFonts w:ascii="Arial New Bash" w:eastAsia="Times New Roman" w:hAnsi="Arial New Bash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F840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840E6"/>
  </w:style>
  <w:style w:type="paragraph" w:styleId="a9">
    <w:name w:val="header"/>
    <w:basedOn w:val="a"/>
    <w:link w:val="aa"/>
    <w:rsid w:val="00F84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84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40E6"/>
  </w:style>
  <w:style w:type="paragraph" w:styleId="ac">
    <w:name w:val="footer"/>
    <w:basedOn w:val="a"/>
    <w:link w:val="ad"/>
    <w:rsid w:val="00F84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84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rsid w:val="00F840E6"/>
    <w:rPr>
      <w:strike w:val="0"/>
      <w:dstrike w:val="0"/>
      <w:color w:val="008000"/>
      <w:u w:val="none"/>
      <w:effect w:val="none"/>
    </w:rPr>
  </w:style>
  <w:style w:type="character" w:customStyle="1" w:styleId="30">
    <w:name w:val="Заголовок 3 Знак"/>
    <w:basedOn w:val="a0"/>
    <w:link w:val="3"/>
    <w:rsid w:val="006539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3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53926"/>
  </w:style>
  <w:style w:type="paragraph" w:customStyle="1" w:styleId="headertext">
    <w:name w:val="headertext"/>
    <w:basedOn w:val="a"/>
    <w:rsid w:val="006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5392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3926"/>
    <w:rPr>
      <w:color w:val="800080"/>
      <w:u w:val="single"/>
    </w:rPr>
  </w:style>
  <w:style w:type="character" w:customStyle="1" w:styleId="blk">
    <w:name w:val="blk"/>
    <w:basedOn w:val="a0"/>
    <w:rsid w:val="00653926"/>
  </w:style>
  <w:style w:type="paragraph" w:customStyle="1" w:styleId="ConsPlusNormal">
    <w:name w:val="ConsPlusNormal"/>
    <w:rsid w:val="00653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65392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653926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2" Type="http://schemas.openxmlformats.org/officeDocument/2006/relationships/hyperlink" Target="consultantplus://offline/ref=EDEEF186622448285741DC196C4F1D8534C0B68D1743FABC93925D2771291FF7512D3EE164962E772C6F682F6333Y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EEF186622448285741DD17794F1D8535CDB28C1246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1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4C1B7891A17ADBEC2C75322797945E755646AEA7B9034692A716832Y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16</cp:revision>
  <cp:lastPrinted>2021-02-02T07:03:00Z</cp:lastPrinted>
  <dcterms:created xsi:type="dcterms:W3CDTF">2020-02-06T11:13:00Z</dcterms:created>
  <dcterms:modified xsi:type="dcterms:W3CDTF">2021-02-02T07:04:00Z</dcterms:modified>
</cp:coreProperties>
</file>