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сентябрь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4151AB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5115D4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151AB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47CCC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 xml:space="preserve"> сентября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EB5DBB" w:rsidRDefault="00EB5DBB" w:rsidP="00EB5D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отмене постановлений Администрации сельского поселения </w:t>
      </w:r>
      <w:proofErr w:type="spellStart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район, которыми были утверждены административные регламенты предоставления муниципальных услуг.</w:t>
      </w:r>
    </w:p>
    <w:p w:rsidR="004151AB" w:rsidRPr="004151AB" w:rsidRDefault="004151AB" w:rsidP="004151A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приведения административных регламентов в соответствие с постановлением Правительства Республики Башкортостан от 22.04.2016г.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 с изменениями и дополнениями</w:t>
      </w:r>
      <w:proofErr w:type="gramStart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151A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</w:t>
      </w:r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 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151AB" w:rsidRPr="004151AB" w:rsidRDefault="004151AB" w:rsidP="004151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sz w:val="28"/>
          <w:szCs w:val="28"/>
        </w:rPr>
        <w:t>1.Признать утратившим силу следующие постановления, которыми были утверждены административные регламенты предоставления муниципальных услуг:</w:t>
      </w:r>
    </w:p>
    <w:p w:rsidR="004151AB" w:rsidRPr="004151AB" w:rsidRDefault="004151AB" w:rsidP="00415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№ 47 от 14.12.2012 г. Об утверждении Административного регламента предоставления муниципальной услуги «По совершению нотариальных действий»</w:t>
      </w:r>
      <w:proofErr w:type="gramStart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 № 48 от 12.12.2012г.  Об утверждении Административного регламента по предоставлению муниципальной услуги «Создание условий для организации досуга и обеспечения жителей сельского поселения </w:t>
      </w:r>
      <w:proofErr w:type="spellStart"/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услугами организаций культуры»;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. постановление  № 49 от 12.12.2012г</w:t>
      </w:r>
      <w:proofErr w:type="gramStart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по осуществлению первичного воинского учета граждан, проживающих, или, пребывающих на территории сельского поселения;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№ 53 от 14.12.2012 г. Об утверждении административного регламента по предоставлению муниципальной услуги «Регистрация и снятие по месту жительства» на территории сельского поселения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. Постановление № 54 от 14.12.2012 г «Прием заявлений и выдача документов о согласовании проектов границ земельных участков»;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Постановление № 55 от 14.12.2012 г.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«Предоставление доступа к справочно-поисковому аппарату, библиотек, базам данных»;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№ 58 от 14.12.2012 г. «Рассмотрение обращений граждан в АСП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сельсовет»;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 от 22.12.2015г. 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«Присвоение (уточнение) адресов объектам недвижимого имущества, расположенных на территории СП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сельсовет»;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Постановление № 55 от 06.05.2019 г.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1.10.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Постановление № 56 от 06.05.2019 г.</w:t>
      </w:r>
      <w:r w:rsidRPr="0041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Pr="004151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 Настоящее  постановление вступает в силу на следующий день, после дня его официального опубликовани</w:t>
      </w:r>
      <w:proofErr w:type="gramStart"/>
      <w:r w:rsidRPr="004151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я(</w:t>
      </w:r>
      <w:proofErr w:type="gramEnd"/>
      <w:r w:rsidRPr="004151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обнародования).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. Настоящее  постановление  опубликовать (обнародовать)  на официальном сайте Администрации сельского поселения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выполнением настоящего постановления оставляю за собой.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51A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151AB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А.К.Хайретдинов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 w:rsidRPr="00415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151AB" w:rsidRPr="004151AB" w:rsidRDefault="004151AB" w:rsidP="00415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1AB" w:rsidRPr="004151AB" w:rsidRDefault="004151AB" w:rsidP="004151AB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1AB" w:rsidRPr="004151AB" w:rsidRDefault="004151AB" w:rsidP="004151AB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151AB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Суфиянова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И.М.</w:t>
      </w: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51AB" w:rsidRPr="004151AB" w:rsidRDefault="004151AB" w:rsidP="00415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151AB">
        <w:rPr>
          <w:rFonts w:ascii="Times New Roman" w:eastAsia="Times New Roman" w:hAnsi="Times New Roman" w:cs="Times New Roman"/>
          <w:color w:val="000000"/>
          <w:sz w:val="16"/>
          <w:szCs w:val="16"/>
        </w:rPr>
        <w:t>Тел.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8(34740) 2-33-21</w:t>
      </w:r>
    </w:p>
    <w:p w:rsidR="004151AB" w:rsidRDefault="004151AB" w:rsidP="00EB5D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1AB" w:rsidSect="004151AB">
      <w:pgSz w:w="11906" w:h="16838" w:code="9"/>
      <w:pgMar w:top="709" w:right="566" w:bottom="567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E9" w:rsidRDefault="00C938E9" w:rsidP="005115D4">
      <w:pPr>
        <w:spacing w:after="0" w:line="240" w:lineRule="auto"/>
      </w:pPr>
      <w:r>
        <w:separator/>
      </w:r>
    </w:p>
  </w:endnote>
  <w:endnote w:type="continuationSeparator" w:id="0">
    <w:p w:rsidR="00C938E9" w:rsidRDefault="00C938E9" w:rsidP="005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E9" w:rsidRDefault="00C938E9" w:rsidP="005115D4">
      <w:pPr>
        <w:spacing w:after="0" w:line="240" w:lineRule="auto"/>
      </w:pPr>
      <w:r>
        <w:separator/>
      </w:r>
    </w:p>
  </w:footnote>
  <w:footnote w:type="continuationSeparator" w:id="0">
    <w:p w:rsidR="00C938E9" w:rsidRDefault="00C938E9" w:rsidP="005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D09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5"/>
  </w:num>
  <w:num w:numId="19">
    <w:abstractNumId w:val="21"/>
  </w:num>
  <w:num w:numId="20">
    <w:abstractNumId w:val="16"/>
  </w:num>
  <w:num w:numId="21">
    <w:abstractNumId w:val="27"/>
  </w:num>
  <w:num w:numId="22">
    <w:abstractNumId w:val="17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D3E34"/>
    <w:rsid w:val="002333CD"/>
    <w:rsid w:val="002E3D6E"/>
    <w:rsid w:val="00303BC1"/>
    <w:rsid w:val="00365971"/>
    <w:rsid w:val="004151AB"/>
    <w:rsid w:val="004453B4"/>
    <w:rsid w:val="004E7CA5"/>
    <w:rsid w:val="005115D4"/>
    <w:rsid w:val="00525D57"/>
    <w:rsid w:val="006D766B"/>
    <w:rsid w:val="00B97061"/>
    <w:rsid w:val="00C05ED1"/>
    <w:rsid w:val="00C938E9"/>
    <w:rsid w:val="00CE3FC1"/>
    <w:rsid w:val="00D7341C"/>
    <w:rsid w:val="00E07F48"/>
    <w:rsid w:val="00E47CCC"/>
    <w:rsid w:val="00E951A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20</cp:revision>
  <cp:lastPrinted>2020-05-13T04:33:00Z</cp:lastPrinted>
  <dcterms:created xsi:type="dcterms:W3CDTF">2019-06-03T04:03:00Z</dcterms:created>
  <dcterms:modified xsi:type="dcterms:W3CDTF">2020-09-08T09:27:00Z</dcterms:modified>
</cp:coreProperties>
</file>