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wordprocessingml.header+xml" PartName="/word/header4.xml"/>
  <Override ContentType="application/vnd.openxmlformats-officedocument.wordprocessingml.footer+xml" PartName="/word/footer4.xml"/>
  <Override ContentType="application/vnd.openxmlformats-officedocument.wordprocessingml.header+xml" PartName="/word/header5.xml"/>
  <Override ContentType="application/vnd.openxmlformats-officedocument.wordprocessingml.footer+xml" PartName="/word/footer5.xml"/>
  <Override ContentType="application/vnd.openxmlformats-officedocument.wordprocessingml.header+xml" PartName="/word/header6.xml"/>
  <Override ContentType="application/vnd.openxmlformats-officedocument.wordprocessingml.footer+xml" PartName="/word/footer6.xml"/>
  <Override ContentType="application/vnd.openxmlformats-officedocument.wordprocessingml.header+xml" PartName="/word/header7.xml"/>
  <Override ContentType="application/vnd.openxmlformats-officedocument.wordprocessingml.footer+xml" PartName="/word/footer7.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wordprocessingml.header+xml" PartName="/word/header8.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D42" w:rsidRDefault="008113B9">
      <w:pPr>
        <w:jc w:val="center"/>
      </w:pPr>
      <w:bookmarkStart w:id="0" w:name="_Toc145326543"/>
      <w:bookmarkStart w:id="1" w:name="_Toc145485285"/>
      <w:bookmarkStart w:id="2" w:name="_Toc147054732"/>
      <w:bookmarkStart w:id="3" w:name="_Toc147906962"/>
      <w:bookmarkStart w:id="4" w:name="_Toc147917237"/>
      <w:bookmarkStart w:id="5" w:name="_Toc153811069"/>
      <w:bookmarkStart w:id="6" w:name="_Toc153869094"/>
      <w:bookmarkStart w:id="7" w:name="_Toc156030079"/>
      <w:bookmarkStart w:id="8" w:name="_Toc156114994"/>
      <w:bookmarkStart w:id="9" w:name="_GoBack"/>
      <w:bookmarkEnd w:id="9"/>
      <w:r>
        <w:rPr>
          <w:b/>
          <w:color w:val="000000"/>
          <w:sz w:val="22"/>
          <w:szCs w:val="22"/>
        </w:rPr>
        <w:t>ГОСУДАРСТВЕННОЕ БЮДЖЕТНОЕ УЧРЕЖДЕНИЕ РЕСПУБЛИКИ БАШКОРТОСТАН</w:t>
      </w:r>
      <w:r>
        <w:rPr>
          <w:b/>
          <w:color w:val="000000"/>
          <w:sz w:val="24"/>
          <w:szCs w:val="24"/>
        </w:rPr>
        <w:t xml:space="preserve"> </w:t>
      </w:r>
      <w:r>
        <w:rPr>
          <w:b/>
          <w:color w:val="000000"/>
          <w:sz w:val="22"/>
          <w:szCs w:val="22"/>
        </w:rPr>
        <w:t>«ГОСУДАРСТВЕННАЯ КАДАСТРОВАЯ ОЦЕНКА И ТЕХНИЧЕСКАЯ ИНВЕНТАРИЗАЦИЯ»</w:t>
      </w:r>
    </w:p>
    <w:p w:rsidR="00E85D42" w:rsidRDefault="008113B9">
      <w:pPr>
        <w:jc w:val="center"/>
        <w:rPr>
          <w:color w:val="000000"/>
          <w:sz w:val="22"/>
          <w:szCs w:val="22"/>
        </w:rPr>
      </w:pPr>
      <w:r>
        <w:rPr>
          <w:color w:val="000000"/>
          <w:sz w:val="22"/>
          <w:szCs w:val="22"/>
        </w:rPr>
        <w:t xml:space="preserve">Республика Башкортостан, г. Уфа, ул. Бессонова, д. </w:t>
      </w:r>
      <w:r>
        <w:rPr>
          <w:color w:val="000000"/>
          <w:sz w:val="22"/>
          <w:szCs w:val="22"/>
        </w:rPr>
        <w:t>26, корпус А</w:t>
      </w:r>
    </w:p>
    <w:p w:rsidR="00E85D42" w:rsidRDefault="00E85D42">
      <w:pPr>
        <w:jc w:val="center"/>
        <w:rPr>
          <w:b/>
          <w:color w:val="000000"/>
          <w:sz w:val="36"/>
          <w:szCs w:val="36"/>
        </w:rPr>
      </w:pPr>
    </w:p>
    <w:p w:rsidR="00E85D42" w:rsidRDefault="00E85D42">
      <w:pPr>
        <w:jc w:val="center"/>
        <w:rPr>
          <w:b/>
          <w:color w:val="000000"/>
          <w:sz w:val="48"/>
          <w:szCs w:val="48"/>
        </w:rPr>
      </w:pPr>
      <w:bookmarkStart w:id="10" w:name="_Toc168110978"/>
      <w:bookmarkStart w:id="11" w:name="_Toc190584463"/>
      <w:bookmarkStart w:id="12" w:name="_Toc191102480"/>
      <w:bookmarkStart w:id="13" w:name="_Toc193821510"/>
      <w:bookmarkStart w:id="14" w:name="_Toc200135526"/>
      <w:bookmarkStart w:id="15" w:name="_Toc200166087"/>
      <w:bookmarkStart w:id="16" w:name="_Toc208221426"/>
      <w:bookmarkStart w:id="17" w:name="_Toc211958616"/>
      <w:bookmarkStart w:id="18" w:name="_Toc223264256"/>
      <w:bookmarkStart w:id="19" w:name="_Toc228185916"/>
      <w:bookmarkStart w:id="20" w:name="_Toc228246629"/>
      <w:bookmarkStart w:id="21" w:name="_Toc229464071"/>
      <w:bookmarkStart w:id="22" w:name="_Toc230525134"/>
      <w:bookmarkStart w:id="23" w:name="_Toc233172082"/>
      <w:bookmarkStart w:id="24" w:name="_Toc254015347"/>
      <w:bookmarkStart w:id="25" w:name="_Toc259006921"/>
      <w:bookmarkStart w:id="26" w:name="_Toc262455787"/>
      <w:bookmarkStart w:id="27" w:name="_Toc262459516"/>
      <w:bookmarkStart w:id="28" w:name="_Toc266210302"/>
      <w:bookmarkStart w:id="29" w:name="_Toc289013024"/>
      <w:bookmarkStart w:id="30" w:name="_Toc290297928"/>
      <w:bookmarkStart w:id="31" w:name="_Toc290566469"/>
      <w:bookmarkStart w:id="32" w:name="_Toc290566516"/>
      <w:bookmarkStart w:id="33" w:name="_Toc298310778"/>
      <w:bookmarkStart w:id="34" w:name="_Toc298310858"/>
      <w:bookmarkStart w:id="35" w:name="_Toc298496632"/>
      <w:bookmarkStart w:id="36" w:name="_Toc298766301"/>
      <w:bookmarkStart w:id="37" w:name="_Toc302041444"/>
      <w:bookmarkStart w:id="38" w:name="_Toc310370797"/>
      <w:bookmarkStart w:id="39" w:name="_Toc310513890"/>
      <w:bookmarkStart w:id="40" w:name="_Toc310515619"/>
      <w:bookmarkStart w:id="41" w:name="_Toc503880836"/>
      <w:bookmarkStart w:id="42" w:name="_Toc503887943"/>
      <w:bookmarkStart w:id="43" w:name="_Toc511348308"/>
      <w:bookmarkStart w:id="44" w:name="_Toc511389376"/>
    </w:p>
    <w:p w:rsidR="00E85D42" w:rsidRDefault="008113B9">
      <w:pPr>
        <w:jc w:val="center"/>
        <w:rPr>
          <w:b/>
          <w:color w:val="000000"/>
          <w:sz w:val="48"/>
          <w:szCs w:val="48"/>
        </w:rPr>
      </w:pPr>
      <w:r>
        <w:rPr>
          <w:b/>
          <w:color w:val="000000"/>
          <w:sz w:val="48"/>
          <w:szCs w:val="48"/>
        </w:rPr>
        <w:t>ПРОЕКТ ОТЧЕТ</w:t>
      </w:r>
      <w:bookmarkEnd w:id="0"/>
      <w:bookmarkEnd w:id="1"/>
      <w:bookmarkEnd w:id="2"/>
      <w:bookmarkEnd w:id="3"/>
      <w:bookmarkEnd w:id="4"/>
      <w:bookmarkEnd w:id="5"/>
      <w:bookmarkEnd w:id="6"/>
      <w:bookmarkEnd w:id="7"/>
      <w:bookmarkEnd w:id="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b/>
          <w:color w:val="000000"/>
          <w:sz w:val="48"/>
          <w:szCs w:val="48"/>
        </w:rPr>
        <w:t>А</w:t>
      </w:r>
    </w:p>
    <w:p w:rsidR="00E85D42" w:rsidRDefault="00E85D42">
      <w:pPr>
        <w:jc w:val="center"/>
        <w:rPr>
          <w:b/>
          <w:color w:val="000000"/>
          <w:sz w:val="24"/>
          <w:szCs w:val="24"/>
        </w:rPr>
      </w:pPr>
    </w:p>
    <w:p w:rsidR="00E85D42" w:rsidRDefault="008113B9">
      <w:pPr>
        <w:jc w:val="center"/>
        <w:rPr>
          <w:b/>
          <w:color w:val="000000"/>
          <w:sz w:val="24"/>
          <w:szCs w:val="24"/>
        </w:rPr>
      </w:pPr>
      <w:r>
        <w:rPr>
          <w:b/>
          <w:color w:val="000000"/>
          <w:sz w:val="24"/>
          <w:szCs w:val="24"/>
        </w:rPr>
        <w:t xml:space="preserve">ОБ ИТОГАХ ГОСУДАРСТВЕННОЙ КАДАСТРОВОЙ ОЦЕНКИ </w:t>
      </w:r>
    </w:p>
    <w:p w:rsidR="00E85D42" w:rsidRDefault="008113B9">
      <w:pPr>
        <w:jc w:val="center"/>
      </w:pPr>
      <w:r>
        <w:rPr>
          <w:b/>
          <w:color w:val="000000"/>
          <w:sz w:val="24"/>
          <w:szCs w:val="24"/>
        </w:rPr>
        <w:t xml:space="preserve">ЗЕМЕЛЬНЫХ </w:t>
      </w:r>
      <w:r>
        <w:rPr>
          <w:b/>
          <w:sz w:val="24"/>
          <w:szCs w:val="24"/>
        </w:rPr>
        <w:t>УЧАСТКОВ В СОСТАВЕ ЗЕМЕЛЬ ВОДНОГО ФОНДА и ЗЕМЕЛЬ НАСЕЛЕННЫХ ПУНКТОВ РЕСПУБЛИКИ БАШКОРТОСТАН</w:t>
      </w:r>
    </w:p>
    <w:p w:rsidR="00E85D42" w:rsidRDefault="008113B9">
      <w:pPr>
        <w:jc w:val="center"/>
        <w:rPr>
          <w:b/>
          <w:sz w:val="24"/>
          <w:szCs w:val="24"/>
        </w:rPr>
      </w:pPr>
      <w:r>
        <w:rPr>
          <w:b/>
          <w:sz w:val="24"/>
          <w:szCs w:val="24"/>
        </w:rPr>
        <w:t>по состоянию на 01.01.2019</w:t>
      </w:r>
    </w:p>
    <w:p w:rsidR="00E85D42" w:rsidRDefault="00E85D42">
      <w:pPr>
        <w:jc w:val="center"/>
        <w:rPr>
          <w:b/>
          <w:bCs/>
          <w:color w:val="000000"/>
          <w:sz w:val="36"/>
        </w:rPr>
      </w:pPr>
    </w:p>
    <w:p w:rsidR="00E85D42" w:rsidRDefault="008113B9">
      <w:pPr>
        <w:jc w:val="center"/>
        <w:rPr>
          <w:b/>
          <w:bCs/>
          <w:color w:val="000000"/>
          <w:sz w:val="36"/>
        </w:rPr>
      </w:pPr>
      <w:r>
        <w:rPr>
          <w:b/>
          <w:bCs/>
          <w:color w:val="000000"/>
          <w:sz w:val="36"/>
        </w:rPr>
        <w:t xml:space="preserve">№ </w:t>
      </w:r>
      <w:bookmarkStart w:id="45" w:name="OLE_LINK18"/>
      <w:bookmarkStart w:id="46" w:name="OLE_LINK19"/>
      <w:r>
        <w:rPr>
          <w:b/>
          <w:bCs/>
          <w:color w:val="000000"/>
          <w:sz w:val="36"/>
        </w:rPr>
        <w:t>02-2019-1</w:t>
      </w:r>
      <w:bookmarkEnd w:id="45"/>
      <w:bookmarkEnd w:id="46"/>
    </w:p>
    <w:p w:rsidR="00E85D42" w:rsidRDefault="008113B9">
      <w:pPr>
        <w:jc w:val="center"/>
      </w:pPr>
      <w:bookmarkStart w:id="47" w:name="_Toc145326545"/>
      <w:bookmarkStart w:id="48" w:name="_Toc145485287"/>
      <w:bookmarkStart w:id="49" w:name="_Toc147054734"/>
      <w:bookmarkStart w:id="50" w:name="_Toc147906964"/>
      <w:bookmarkStart w:id="51" w:name="_Toc147917239"/>
      <w:bookmarkStart w:id="52" w:name="_Toc153811071"/>
      <w:bookmarkStart w:id="53" w:name="_Toc153869096"/>
      <w:bookmarkStart w:id="54" w:name="_Toc156030081"/>
      <w:bookmarkStart w:id="55" w:name="_Toc156114996"/>
      <w:bookmarkStart w:id="56" w:name="_Toc168110980"/>
      <w:r>
        <w:rPr>
          <w:noProof/>
        </w:rPr>
        <w:drawing>
          <wp:inline distT="0" distB="0" distL="0" distR="0">
            <wp:extent cx="2154948" cy="2734385"/>
            <wp:effectExtent l="0" t="0" r="0" b="8815"/>
            <wp:docPr id="1" name="Рисунок 12" descr="D:\user\Downloads\логотип ГБУ РБ.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154948" cy="2734385"/>
                    </a:xfrm>
                    <a:prstGeom prst="rect">
                      <a:avLst/>
                    </a:prstGeom>
                    <a:noFill/>
                    <a:ln>
                      <a:noFill/>
                      <a:prstDash/>
                    </a:ln>
                  </pic:spPr>
                </pic:pic>
              </a:graphicData>
            </a:graphic>
          </wp:inline>
        </w:drawing>
      </w:r>
    </w:p>
    <w:p w:rsidR="00E85D42" w:rsidRDefault="00E85D42">
      <w:pPr>
        <w:jc w:val="center"/>
        <w:rPr>
          <w:b/>
          <w:color w:val="000000"/>
          <w:sz w:val="28"/>
          <w:szCs w:val="28"/>
        </w:rPr>
      </w:pPr>
    </w:p>
    <w:p w:rsidR="00E85D42" w:rsidRDefault="00E85D42">
      <w:pPr>
        <w:jc w:val="center"/>
        <w:rPr>
          <w:b/>
          <w:color w:val="000000"/>
          <w:sz w:val="28"/>
          <w:szCs w:val="28"/>
        </w:rPr>
      </w:pPr>
    </w:p>
    <w:p w:rsidR="00E85D42" w:rsidRDefault="00E85D42">
      <w:pPr>
        <w:jc w:val="center"/>
        <w:rPr>
          <w:b/>
          <w:color w:val="000000"/>
          <w:sz w:val="28"/>
          <w:szCs w:val="28"/>
        </w:rPr>
      </w:pPr>
    </w:p>
    <w:tbl>
      <w:tblPr>
        <w:tblW w:w="9671" w:type="dxa"/>
        <w:tblCellMar>
          <w:left w:w="10" w:type="dxa"/>
          <w:right w:w="10" w:type="dxa"/>
        </w:tblCellMar>
        <w:tblLook w:val="04A0" w:firstRow="1" w:lastRow="0" w:firstColumn="1" w:lastColumn="0" w:noHBand="0" w:noVBand="1"/>
      </w:tblPr>
      <w:tblGrid>
        <w:gridCol w:w="4928"/>
        <w:gridCol w:w="425"/>
        <w:gridCol w:w="1559"/>
        <w:gridCol w:w="242"/>
        <w:gridCol w:w="2517"/>
      </w:tblGrid>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Руководитель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Хазиев Р.Р.</w:t>
            </w: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6"/>
                <w:szCs w:val="6"/>
              </w:rPr>
            </w:pPr>
          </w:p>
        </w:tc>
        <w:tc>
          <w:tcPr>
            <w:tcW w:w="425"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1559"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42"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517" w:type="dxa"/>
            <w:shd w:val="clear" w:color="auto" w:fill="auto"/>
            <w:tcMar>
              <w:top w:w="0" w:type="dxa"/>
              <w:left w:w="108" w:type="dxa"/>
              <w:bottom w:w="0" w:type="dxa"/>
              <w:right w:w="108" w:type="dxa"/>
            </w:tcMar>
            <w:vAlign w:val="bottom"/>
          </w:tcPr>
          <w:p w:rsidR="00E85D42" w:rsidRDefault="00E85D42">
            <w:pPr>
              <w:jc w:val="both"/>
              <w:rPr>
                <w:sz w:val="6"/>
                <w:szCs w:val="6"/>
              </w:rPr>
            </w:pP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Начальник отдела государственной кадастровой оценки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Саитгалин Р.А.</w:t>
            </w: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6"/>
                <w:szCs w:val="6"/>
              </w:rPr>
            </w:pPr>
          </w:p>
        </w:tc>
        <w:tc>
          <w:tcPr>
            <w:tcW w:w="425"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1559"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42"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517" w:type="dxa"/>
            <w:shd w:val="clear" w:color="auto" w:fill="auto"/>
            <w:tcMar>
              <w:top w:w="0" w:type="dxa"/>
              <w:left w:w="108" w:type="dxa"/>
              <w:bottom w:w="0" w:type="dxa"/>
              <w:right w:w="108" w:type="dxa"/>
            </w:tcMar>
            <w:vAlign w:val="bottom"/>
          </w:tcPr>
          <w:p w:rsidR="00E85D42" w:rsidRDefault="00E85D42">
            <w:pPr>
              <w:jc w:val="both"/>
              <w:rPr>
                <w:sz w:val="6"/>
                <w:szCs w:val="6"/>
              </w:rPr>
            </w:pP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Заместитель начальника отдела государственной кадастровой оценки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Тусалина А.Я.</w:t>
            </w: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6"/>
                <w:szCs w:val="6"/>
              </w:rPr>
            </w:pPr>
          </w:p>
        </w:tc>
        <w:tc>
          <w:tcPr>
            <w:tcW w:w="425"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1559"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42"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517" w:type="dxa"/>
            <w:shd w:val="clear" w:color="auto" w:fill="auto"/>
            <w:tcMar>
              <w:top w:w="0" w:type="dxa"/>
              <w:left w:w="108" w:type="dxa"/>
              <w:bottom w:w="0" w:type="dxa"/>
              <w:right w:w="108" w:type="dxa"/>
            </w:tcMar>
            <w:vAlign w:val="bottom"/>
          </w:tcPr>
          <w:p w:rsidR="00E85D42" w:rsidRDefault="00E85D42">
            <w:pPr>
              <w:jc w:val="both"/>
              <w:rPr>
                <w:sz w:val="6"/>
                <w:szCs w:val="6"/>
              </w:rPr>
            </w:pP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 xml:space="preserve">Главный специалист отдела </w:t>
            </w:r>
            <w:r>
              <w:rPr>
                <w:sz w:val="24"/>
              </w:rPr>
              <w:t>государственной кадастровой оценки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Елсукова Н.Н.</w:t>
            </w: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6"/>
                <w:szCs w:val="6"/>
              </w:rPr>
            </w:pPr>
          </w:p>
        </w:tc>
        <w:tc>
          <w:tcPr>
            <w:tcW w:w="425"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1559"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42"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517" w:type="dxa"/>
            <w:shd w:val="clear" w:color="auto" w:fill="auto"/>
            <w:tcMar>
              <w:top w:w="0" w:type="dxa"/>
              <w:left w:w="108" w:type="dxa"/>
              <w:bottom w:w="0" w:type="dxa"/>
              <w:right w:w="108" w:type="dxa"/>
            </w:tcMar>
            <w:vAlign w:val="bottom"/>
          </w:tcPr>
          <w:p w:rsidR="00E85D42" w:rsidRDefault="00E85D42">
            <w:pPr>
              <w:jc w:val="both"/>
              <w:rPr>
                <w:sz w:val="6"/>
                <w:szCs w:val="6"/>
              </w:rPr>
            </w:pP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Главный специалист отдела государственной кадастровой оценки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Халимов А.Р.</w:t>
            </w: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6"/>
                <w:szCs w:val="6"/>
              </w:rPr>
            </w:pPr>
          </w:p>
        </w:tc>
        <w:tc>
          <w:tcPr>
            <w:tcW w:w="425"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1559"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42"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517" w:type="dxa"/>
            <w:shd w:val="clear" w:color="auto" w:fill="auto"/>
            <w:tcMar>
              <w:top w:w="0" w:type="dxa"/>
              <w:left w:w="108" w:type="dxa"/>
              <w:bottom w:w="0" w:type="dxa"/>
              <w:right w:w="108" w:type="dxa"/>
            </w:tcMar>
            <w:vAlign w:val="bottom"/>
          </w:tcPr>
          <w:p w:rsidR="00E85D42" w:rsidRDefault="00E85D42">
            <w:pPr>
              <w:jc w:val="both"/>
              <w:rPr>
                <w:sz w:val="6"/>
                <w:szCs w:val="6"/>
              </w:rPr>
            </w:pP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24"/>
              </w:rPr>
            </w:pP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E85D42">
            <w:pPr>
              <w:rPr>
                <w:sz w:val="24"/>
              </w:rPr>
            </w:pPr>
          </w:p>
        </w:tc>
      </w:tr>
    </w:tbl>
    <w:p w:rsidR="00E85D42" w:rsidRDefault="00E85D42">
      <w:pPr>
        <w:jc w:val="center"/>
        <w:rPr>
          <w:b/>
          <w:color w:val="000000"/>
          <w:sz w:val="28"/>
          <w:szCs w:val="28"/>
        </w:rPr>
      </w:pPr>
    </w:p>
    <w:p w:rsidR="00E85D42" w:rsidRDefault="00E85D42">
      <w:pPr>
        <w:jc w:val="center"/>
        <w:rPr>
          <w:b/>
          <w:color w:val="000000"/>
          <w:sz w:val="28"/>
          <w:szCs w:val="28"/>
        </w:rPr>
      </w:pPr>
    </w:p>
    <w:p w:rsidR="00E85D42" w:rsidRDefault="008113B9">
      <w:pPr>
        <w:jc w:val="center"/>
        <w:rPr>
          <w:b/>
          <w:color w:val="000000"/>
          <w:sz w:val="28"/>
          <w:szCs w:val="28"/>
        </w:rPr>
        <w:sectPr w:rsidR="00E85D42">
          <w:footerReference w:type="default" r:id="rId8"/>
          <w:headerReference w:type="first" r:id="rId9"/>
          <w:pgSz w:w="11906" w:h="16838"/>
          <w:pgMar w:top="1134" w:right="851" w:bottom="1134" w:left="1077" w:header="709" w:footer="709" w:gutter="0"/>
          <w:pgBorders w:offsetFrom="page">
            <w:top w:val="single" w:sz="18" w:space="24" w:color="000000"/>
            <w:left w:val="single" w:sz="18" w:space="24" w:color="000000"/>
            <w:bottom w:val="single" w:sz="18" w:space="24" w:color="000000"/>
            <w:right w:val="single" w:sz="18" w:space="24" w:color="000000"/>
          </w:pgBorders>
          <w:pgNumType w:start="1"/>
          <w:cols w:space="720"/>
          <w:titlePg/>
        </w:sectPr>
      </w:pPr>
      <w:r>
        <w:rPr>
          <w:b/>
          <w:color w:val="000000"/>
          <w:sz w:val="28"/>
          <w:szCs w:val="28"/>
        </w:rPr>
        <w:t>УФА 20</w:t>
      </w:r>
      <w:bookmarkEnd w:id="47"/>
      <w:bookmarkEnd w:id="48"/>
      <w:bookmarkEnd w:id="49"/>
      <w:bookmarkEnd w:id="50"/>
      <w:bookmarkEnd w:id="51"/>
      <w:bookmarkEnd w:id="52"/>
      <w:bookmarkEnd w:id="53"/>
      <w:bookmarkEnd w:id="54"/>
      <w:bookmarkEnd w:id="55"/>
      <w:bookmarkEnd w:id="56"/>
      <w:r>
        <w:rPr>
          <w:b/>
          <w:color w:val="000000"/>
          <w:sz w:val="28"/>
          <w:szCs w:val="28"/>
        </w:rPr>
        <w:t>19</w:t>
      </w:r>
    </w:p>
    <w:p w:rsidR="00E85D42" w:rsidRDefault="008113B9">
      <w:pPr>
        <w:jc w:val="center"/>
        <w:rPr>
          <w:b/>
          <w:bCs/>
          <w:kern w:val="3"/>
          <w:sz w:val="24"/>
          <w:szCs w:val="24"/>
        </w:rPr>
      </w:pPr>
      <w:bookmarkStart w:id="57" w:name="_Toc524338753"/>
      <w:r>
        <w:rPr>
          <w:b/>
          <w:bCs/>
          <w:kern w:val="3"/>
          <w:sz w:val="24"/>
          <w:szCs w:val="24"/>
        </w:rPr>
        <w:lastRenderedPageBreak/>
        <w:t>Содержание</w:t>
      </w:r>
    </w:p>
    <w:p w:rsidR="00E85D42" w:rsidRDefault="00E85D42">
      <w:pPr>
        <w:jc w:val="center"/>
        <w:rPr>
          <w:b/>
          <w:bCs/>
          <w:kern w:val="3"/>
          <w:sz w:val="24"/>
          <w:szCs w:val="24"/>
        </w:rPr>
      </w:pPr>
    </w:p>
    <w:p w:rsidR="00E85D42" w:rsidRDefault="008113B9">
      <w:pPr>
        <w:pStyle w:val="21"/>
        <w:tabs>
          <w:tab w:val="right" w:leader="dot" w:pos="600"/>
          <w:tab w:val="right" w:leader="dot" w:pos="9344"/>
        </w:tabs>
      </w:pPr>
      <w:r>
        <w:rPr>
          <w:smallCaps w:val="0"/>
        </w:rPr>
        <w:fldChar w:fldCharType="begin"/>
      </w:r>
      <w:r>
        <w:instrText xml:space="preserve"> TOC \o "1-4" \h </w:instrText>
      </w:r>
      <w:r>
        <w:rPr>
          <w:smallCaps w:val="0"/>
        </w:rPr>
        <w:fldChar w:fldCharType="separate"/>
      </w:r>
      <w:hyperlink r:id="rId10" w:history="1">
        <w:r>
          <w:rPr>
            <w:rStyle w:val="a5"/>
            <w:b/>
          </w:rPr>
          <w:t>1.</w:t>
        </w:r>
        <w:r>
          <w:rPr>
            <w:rFonts w:ascii="Calibri" w:hAnsi="Calibri"/>
            <w:sz w:val="22"/>
            <w:szCs w:val="22"/>
          </w:rPr>
          <w:tab/>
        </w:r>
        <w:r>
          <w:rPr>
            <w:rStyle w:val="a5"/>
            <w:b/>
          </w:rPr>
          <w:t>ОСНОВНЫЕ ТЕРМИНЫ, ИСПОЛЬЗУЕМЫЕ В ОТЧЕТЕ, И ИХ ОПРЕДЕЛЕНИЯ</w:t>
        </w:r>
        <w:r>
          <w:tab/>
          <w:t>3</w:t>
        </w:r>
      </w:hyperlink>
    </w:p>
    <w:p w:rsidR="00E85D42" w:rsidRDefault="008113B9">
      <w:pPr>
        <w:pStyle w:val="21"/>
        <w:tabs>
          <w:tab w:val="right" w:leader="dot" w:pos="880"/>
          <w:tab w:val="right" w:leader="dot" w:pos="9344"/>
        </w:tabs>
      </w:pPr>
      <w:hyperlink r:id="rId11" w:history="1">
        <w:r>
          <w:rPr>
            <w:rStyle w:val="a5"/>
            <w:b/>
          </w:rPr>
          <w:t>1.1.</w:t>
        </w:r>
        <w:r>
          <w:rPr>
            <w:rFonts w:ascii="Calibri" w:hAnsi="Calibri"/>
            <w:sz w:val="22"/>
            <w:szCs w:val="22"/>
          </w:rPr>
          <w:tab/>
        </w:r>
        <w:r>
          <w:rPr>
            <w:rStyle w:val="a5"/>
            <w:b/>
          </w:rPr>
          <w:t>Перечень терминов</w:t>
        </w:r>
        <w:r>
          <w:tab/>
          <w:t>3</w:t>
        </w:r>
      </w:hyperlink>
    </w:p>
    <w:p w:rsidR="00E85D42" w:rsidRDefault="008113B9">
      <w:pPr>
        <w:pStyle w:val="21"/>
        <w:tabs>
          <w:tab w:val="right" w:leader="dot" w:pos="880"/>
          <w:tab w:val="right" w:leader="dot" w:pos="9344"/>
        </w:tabs>
      </w:pPr>
      <w:hyperlink r:id="rId12" w:history="1">
        <w:r>
          <w:rPr>
            <w:rStyle w:val="a5"/>
            <w:b/>
          </w:rPr>
          <w:t>1.2.</w:t>
        </w:r>
        <w:r>
          <w:rPr>
            <w:rFonts w:ascii="Calibri" w:hAnsi="Calibri"/>
            <w:sz w:val="22"/>
            <w:szCs w:val="22"/>
          </w:rPr>
          <w:tab/>
        </w:r>
        <w:r>
          <w:rPr>
            <w:rStyle w:val="a5"/>
            <w:b/>
          </w:rPr>
          <w:t>Перечень сокращений, используемых в Отчете</w:t>
        </w:r>
        <w:r>
          <w:tab/>
          <w:t>5</w:t>
        </w:r>
      </w:hyperlink>
    </w:p>
    <w:p w:rsidR="00E85D42" w:rsidRDefault="008113B9">
      <w:pPr>
        <w:pStyle w:val="21"/>
        <w:tabs>
          <w:tab w:val="right" w:leader="dot" w:pos="600"/>
          <w:tab w:val="right" w:leader="dot" w:pos="9344"/>
        </w:tabs>
      </w:pPr>
      <w:hyperlink r:id="rId13" w:history="1">
        <w:r>
          <w:rPr>
            <w:rStyle w:val="a5"/>
            <w:b/>
          </w:rPr>
          <w:t>2.</w:t>
        </w:r>
        <w:r>
          <w:rPr>
            <w:rFonts w:ascii="Calibri" w:hAnsi="Calibri"/>
            <w:sz w:val="22"/>
            <w:szCs w:val="22"/>
          </w:rPr>
          <w:tab/>
        </w:r>
        <w:r>
          <w:rPr>
            <w:rStyle w:val="a5"/>
            <w:b/>
          </w:rPr>
          <w:t>ВВОДНАЯ ГЛАВА</w:t>
        </w:r>
        <w:r>
          <w:tab/>
          <w:t>7</w:t>
        </w:r>
      </w:hyperlink>
    </w:p>
    <w:p w:rsidR="00E85D42" w:rsidRDefault="008113B9">
      <w:pPr>
        <w:pStyle w:val="21"/>
        <w:tabs>
          <w:tab w:val="right" w:leader="dot" w:pos="880"/>
          <w:tab w:val="right" w:leader="dot" w:pos="9344"/>
        </w:tabs>
      </w:pPr>
      <w:hyperlink r:id="rId14" w:history="1">
        <w:r>
          <w:rPr>
            <w:rStyle w:val="a5"/>
            <w:b/>
          </w:rPr>
          <w:t>2.1.</w:t>
        </w:r>
        <w:r>
          <w:rPr>
            <w:rFonts w:ascii="Calibri" w:hAnsi="Calibri"/>
            <w:sz w:val="22"/>
            <w:szCs w:val="22"/>
          </w:rPr>
          <w:tab/>
        </w:r>
        <w:r>
          <w:rPr>
            <w:rStyle w:val="a5"/>
            <w:b/>
          </w:rPr>
          <w:t>Общая информация</w:t>
        </w:r>
        <w:r>
          <w:tab/>
          <w:t>7</w:t>
        </w:r>
      </w:hyperlink>
    </w:p>
    <w:p w:rsidR="00E85D42" w:rsidRDefault="008113B9">
      <w:pPr>
        <w:pStyle w:val="21"/>
        <w:tabs>
          <w:tab w:val="right" w:leader="dot" w:pos="880"/>
          <w:tab w:val="right" w:leader="dot" w:pos="9344"/>
        </w:tabs>
      </w:pPr>
      <w:hyperlink r:id="rId15" w:history="1">
        <w:r>
          <w:rPr>
            <w:rStyle w:val="a5"/>
            <w:b/>
          </w:rPr>
          <w:t>2.2.</w:t>
        </w:r>
        <w:r>
          <w:rPr>
            <w:rFonts w:ascii="Calibri" w:hAnsi="Calibri"/>
            <w:sz w:val="22"/>
            <w:szCs w:val="22"/>
          </w:rPr>
          <w:tab/>
        </w:r>
        <w:r>
          <w:rPr>
            <w:rStyle w:val="a5"/>
            <w:b/>
          </w:rPr>
          <w:t>Нормативные документы</w:t>
        </w:r>
        <w:r>
          <w:tab/>
          <w:t>7</w:t>
        </w:r>
      </w:hyperlink>
    </w:p>
    <w:p w:rsidR="00E85D42" w:rsidRDefault="008113B9">
      <w:pPr>
        <w:pStyle w:val="21"/>
        <w:tabs>
          <w:tab w:val="right" w:leader="dot" w:pos="880"/>
          <w:tab w:val="right" w:leader="dot" w:pos="9344"/>
        </w:tabs>
      </w:pPr>
      <w:hyperlink r:id="rId16" w:history="1">
        <w:r>
          <w:rPr>
            <w:rStyle w:val="a5"/>
            <w:b/>
          </w:rPr>
          <w:t>2.3.</w:t>
        </w:r>
        <w:r>
          <w:rPr>
            <w:rFonts w:ascii="Calibri" w:hAnsi="Calibri"/>
            <w:sz w:val="22"/>
            <w:szCs w:val="22"/>
          </w:rPr>
          <w:tab/>
        </w:r>
        <w:r>
          <w:rPr>
            <w:rStyle w:val="a5"/>
            <w:b/>
          </w:rPr>
          <w:t>Методическая литература</w:t>
        </w:r>
        <w:r>
          <w:tab/>
          <w:t>9</w:t>
        </w:r>
      </w:hyperlink>
    </w:p>
    <w:p w:rsidR="00E85D42" w:rsidRDefault="008113B9">
      <w:pPr>
        <w:pStyle w:val="21"/>
        <w:tabs>
          <w:tab w:val="right" w:leader="dot" w:pos="880"/>
          <w:tab w:val="right" w:leader="dot" w:pos="9344"/>
        </w:tabs>
      </w:pPr>
      <w:hyperlink r:id="rId17" w:history="1">
        <w:r>
          <w:rPr>
            <w:rStyle w:val="a5"/>
            <w:b/>
          </w:rPr>
          <w:t>2.4.</w:t>
        </w:r>
        <w:r>
          <w:rPr>
            <w:rFonts w:ascii="Calibri" w:hAnsi="Calibri"/>
            <w:sz w:val="22"/>
            <w:szCs w:val="22"/>
          </w:rPr>
          <w:tab/>
        </w:r>
        <w:r>
          <w:rPr>
            <w:rStyle w:val="a5"/>
            <w:b/>
          </w:rPr>
          <w:t>Интернет-ресурсы</w:t>
        </w:r>
        <w:r>
          <w:tab/>
          <w:t>9</w:t>
        </w:r>
      </w:hyperlink>
    </w:p>
    <w:p w:rsidR="00E85D42" w:rsidRDefault="008113B9">
      <w:pPr>
        <w:pStyle w:val="21"/>
        <w:tabs>
          <w:tab w:val="right" w:leader="dot" w:pos="880"/>
          <w:tab w:val="right" w:leader="dot" w:pos="9344"/>
        </w:tabs>
      </w:pPr>
      <w:hyperlink r:id="rId18" w:history="1">
        <w:r>
          <w:rPr>
            <w:rStyle w:val="a5"/>
            <w:b/>
          </w:rPr>
          <w:t>2.5.</w:t>
        </w:r>
        <w:r>
          <w:rPr>
            <w:rFonts w:ascii="Calibri" w:hAnsi="Calibri"/>
            <w:sz w:val="22"/>
            <w:szCs w:val="22"/>
          </w:rPr>
          <w:tab/>
        </w:r>
        <w:r>
          <w:rPr>
            <w:rStyle w:val="a5"/>
            <w:b/>
          </w:rPr>
          <w:t>Схема организации проведения работ по определению кадастровой стоимости и их описание</w:t>
        </w:r>
        <w:r>
          <w:tab/>
          <w:t>12</w:t>
        </w:r>
      </w:hyperlink>
    </w:p>
    <w:p w:rsidR="00E85D42" w:rsidRDefault="008113B9">
      <w:pPr>
        <w:pStyle w:val="21"/>
        <w:tabs>
          <w:tab w:val="right" w:leader="dot" w:pos="880"/>
          <w:tab w:val="right" w:leader="dot" w:pos="9344"/>
        </w:tabs>
      </w:pPr>
      <w:hyperlink r:id="rId19" w:history="1">
        <w:r>
          <w:rPr>
            <w:rStyle w:val="a5"/>
            <w:b/>
          </w:rPr>
          <w:t>2.6.</w:t>
        </w:r>
        <w:r>
          <w:rPr>
            <w:rFonts w:ascii="Calibri" w:hAnsi="Calibri"/>
            <w:sz w:val="22"/>
            <w:szCs w:val="22"/>
          </w:rPr>
          <w:tab/>
        </w:r>
        <w:r>
          <w:rPr>
            <w:rStyle w:val="a5"/>
            <w:b/>
          </w:rPr>
          <w:t>Сведения о работниках бюджетного учреждения, непосредственно осуществивших определение кадастровой стоимости, руководител</w:t>
        </w:r>
        <w:r>
          <w:rPr>
            <w:rStyle w:val="a5"/>
            <w:b/>
          </w:rPr>
          <w:t>е такого бюджетного учреждения</w:t>
        </w:r>
        <w:r>
          <w:tab/>
          <w:t>18</w:t>
        </w:r>
      </w:hyperlink>
    </w:p>
    <w:p w:rsidR="00E85D42" w:rsidRDefault="008113B9">
      <w:pPr>
        <w:pStyle w:val="21"/>
        <w:tabs>
          <w:tab w:val="right" w:leader="dot" w:pos="880"/>
          <w:tab w:val="right" w:leader="dot" w:pos="9344"/>
        </w:tabs>
      </w:pPr>
      <w:hyperlink r:id="rId20" w:history="1">
        <w:r>
          <w:rPr>
            <w:rStyle w:val="a5"/>
            <w:b/>
          </w:rPr>
          <w:t>2.7.</w:t>
        </w:r>
        <w:r>
          <w:rPr>
            <w:rFonts w:ascii="Calibri" w:hAnsi="Calibri"/>
            <w:sz w:val="22"/>
            <w:szCs w:val="22"/>
          </w:rPr>
          <w:tab/>
        </w:r>
        <w:r>
          <w:rPr>
            <w:rStyle w:val="a5"/>
            <w:b/>
          </w:rPr>
          <w:t>Сведения о допущениях, использованных при определении кадастровой стоимости</w:t>
        </w:r>
        <w:r>
          <w:tab/>
          <w:t>20</w:t>
        </w:r>
      </w:hyperlink>
    </w:p>
    <w:p w:rsidR="00E85D42" w:rsidRDefault="008113B9">
      <w:pPr>
        <w:pStyle w:val="21"/>
        <w:tabs>
          <w:tab w:val="right" w:leader="dot" w:pos="9344"/>
        </w:tabs>
      </w:pPr>
      <w:hyperlink r:id="rId21" w:history="1">
        <w:r>
          <w:rPr>
            <w:rStyle w:val="a5"/>
            <w:b/>
          </w:rPr>
          <w:t>3. РАСЧЕТНАЯ ГЛАВА</w:t>
        </w:r>
        <w:r>
          <w:tab/>
          <w:t>24</w:t>
        </w:r>
      </w:hyperlink>
    </w:p>
    <w:p w:rsidR="00E85D42" w:rsidRDefault="008113B9">
      <w:pPr>
        <w:pStyle w:val="41"/>
        <w:tabs>
          <w:tab w:val="right" w:leader="dot" w:pos="9344"/>
        </w:tabs>
      </w:pPr>
      <w:hyperlink r:id="rId22" w:history="1">
        <w:r>
          <w:rPr>
            <w:rStyle w:val="a5"/>
            <w:b/>
            <w:bCs/>
            <w:iCs/>
          </w:rPr>
          <w:t>3.1.2. Краткое описание</w:t>
        </w:r>
        <w:r>
          <w:rPr>
            <w:rStyle w:val="a5"/>
            <w:b/>
            <w:bCs/>
            <w:iCs/>
          </w:rPr>
          <w:t xml:space="preserve"> Республики Башкортостан</w:t>
        </w:r>
        <w:r>
          <w:tab/>
          <w:t>47</w:t>
        </w:r>
      </w:hyperlink>
    </w:p>
    <w:p w:rsidR="00E85D42" w:rsidRDefault="008113B9">
      <w:pPr>
        <w:pStyle w:val="41"/>
        <w:tabs>
          <w:tab w:val="right" w:leader="dot" w:pos="9344"/>
        </w:tabs>
      </w:pPr>
      <w:hyperlink r:id="rId23" w:history="1">
        <w:r>
          <w:rPr>
            <w:rStyle w:val="a5"/>
            <w:b/>
            <w:iCs/>
          </w:rPr>
          <w:t>3.1.5.  Сбор и обработка рыночной информации</w:t>
        </w:r>
        <w:r>
          <w:tab/>
          <w:t>116</w:t>
        </w:r>
      </w:hyperlink>
    </w:p>
    <w:p w:rsidR="00E85D42" w:rsidRDefault="008113B9">
      <w:pPr>
        <w:pStyle w:val="41"/>
        <w:tabs>
          <w:tab w:val="right" w:leader="dot" w:pos="9344"/>
        </w:tabs>
      </w:pPr>
      <w:hyperlink r:id="rId24" w:history="1">
        <w:r>
          <w:rPr>
            <w:rStyle w:val="a5"/>
            <w:b/>
            <w:iCs/>
          </w:rPr>
          <w:t>3.1.6. Анализ информации о рынке недвижимости земельных участков Республики Башкортостан</w:t>
        </w:r>
        <w:r>
          <w:tab/>
          <w:t>118</w:t>
        </w:r>
      </w:hyperlink>
    </w:p>
    <w:p w:rsidR="00E85D42" w:rsidRDefault="008113B9">
      <w:pPr>
        <w:pStyle w:val="41"/>
        <w:tabs>
          <w:tab w:val="right" w:leader="dot" w:pos="9344"/>
        </w:tabs>
      </w:pPr>
      <w:hyperlink r:id="rId25" w:history="1">
        <w:r>
          <w:rPr>
            <w:rStyle w:val="a5"/>
            <w:b/>
            <w:iCs/>
          </w:rPr>
          <w:t>3.1.7. Информация об определении ценообразующих факторов и источниках сведений о них, обоснование моделей оценки кадастровой стоимости.</w:t>
        </w:r>
        <w:r>
          <w:tab/>
          <w:t>134</w:t>
        </w:r>
      </w:hyperlink>
    </w:p>
    <w:p w:rsidR="00E85D42" w:rsidRDefault="008113B9">
      <w:pPr>
        <w:pStyle w:val="41"/>
        <w:tabs>
          <w:tab w:val="right" w:leader="dot" w:pos="9344"/>
        </w:tabs>
      </w:pPr>
      <w:hyperlink r:id="rId26" w:history="1">
        <w:r>
          <w:rPr>
            <w:rStyle w:val="a5"/>
            <w:b/>
            <w:iCs/>
          </w:rPr>
          <w:t>3.1.8. Обоснование моделей оценки кадастровой стоимости</w:t>
        </w:r>
        <w:r>
          <w:tab/>
        </w:r>
        <w:r>
          <w:t>146</w:t>
        </w:r>
      </w:hyperlink>
    </w:p>
    <w:p w:rsidR="00E85D42" w:rsidRDefault="008113B9">
      <w:pPr>
        <w:pStyle w:val="21"/>
        <w:tabs>
          <w:tab w:val="right" w:leader="dot" w:pos="9344"/>
        </w:tabs>
      </w:pPr>
      <w:hyperlink r:id="rId27" w:history="1">
        <w:r>
          <w:rPr>
            <w:rStyle w:val="a5"/>
            <w:b/>
          </w:rPr>
          <w:t>3.2. Описание и обоснование подходов к выбору типового объекта недвижимости в целях проведения оценочного зонирования</w:t>
        </w:r>
        <w:r>
          <w:tab/>
          <w:t>153</w:t>
        </w:r>
      </w:hyperlink>
    </w:p>
    <w:p w:rsidR="00E85D42" w:rsidRDefault="008113B9">
      <w:pPr>
        <w:pStyle w:val="21"/>
        <w:tabs>
          <w:tab w:val="right" w:leader="dot" w:pos="9344"/>
        </w:tabs>
      </w:pPr>
      <w:hyperlink r:id="rId28" w:history="1">
        <w:r>
          <w:rPr>
            <w:rStyle w:val="a5"/>
            <w:b/>
          </w:rPr>
          <w:t>3.3. Обоснование подходов к сегментации объектов недвижимости, подле</w:t>
        </w:r>
        <w:r>
          <w:rPr>
            <w:rStyle w:val="a5"/>
            <w:b/>
          </w:rPr>
          <w:t>жащих государственной кадастровой оценке, в целях их группировки</w:t>
        </w:r>
        <w:r>
          <w:tab/>
          <w:t>176</w:t>
        </w:r>
      </w:hyperlink>
    </w:p>
    <w:p w:rsidR="00E85D42" w:rsidRDefault="008113B9">
      <w:pPr>
        <w:pStyle w:val="21"/>
        <w:tabs>
          <w:tab w:val="right" w:leader="dot" w:pos="9344"/>
        </w:tabs>
      </w:pPr>
      <w:hyperlink r:id="rId29" w:history="1">
        <w:r>
          <w:rPr>
            <w:rStyle w:val="a5"/>
            <w:b/>
          </w:rPr>
          <w:t>3.4. Обоснование выбора подходов и методов, использованных для определения кадастровой стоимости объектов недвижимости</w:t>
        </w:r>
        <w:r>
          <w:tab/>
          <w:t>179</w:t>
        </w:r>
      </w:hyperlink>
    </w:p>
    <w:p w:rsidR="00E85D42" w:rsidRDefault="008113B9">
      <w:pPr>
        <w:pStyle w:val="41"/>
        <w:tabs>
          <w:tab w:val="right" w:leader="dot" w:pos="9344"/>
        </w:tabs>
      </w:pPr>
      <w:hyperlink r:id="rId30" w:history="1">
        <w:r>
          <w:rPr>
            <w:rStyle w:val="a5"/>
            <w:b/>
            <w:iCs/>
          </w:rPr>
          <w:t>3.</w:t>
        </w:r>
        <w:r>
          <w:rPr>
            <w:rStyle w:val="a5"/>
            <w:b/>
            <w:iCs/>
          </w:rPr>
          <w:t>4.1. Сравнительный подход</w:t>
        </w:r>
        <w:r>
          <w:tab/>
          <w:t>179</w:t>
        </w:r>
      </w:hyperlink>
    </w:p>
    <w:p w:rsidR="00E85D42" w:rsidRDefault="008113B9">
      <w:pPr>
        <w:pStyle w:val="41"/>
        <w:tabs>
          <w:tab w:val="right" w:leader="dot" w:pos="9344"/>
        </w:tabs>
      </w:pPr>
      <w:hyperlink r:id="rId31" w:history="1">
        <w:r>
          <w:rPr>
            <w:rStyle w:val="a5"/>
            <w:b/>
            <w:iCs/>
          </w:rPr>
          <w:t>3.4.2. Затратный подход</w:t>
        </w:r>
        <w:r>
          <w:tab/>
          <w:t>181</w:t>
        </w:r>
      </w:hyperlink>
    </w:p>
    <w:p w:rsidR="00E85D42" w:rsidRDefault="008113B9">
      <w:pPr>
        <w:pStyle w:val="41"/>
        <w:tabs>
          <w:tab w:val="right" w:leader="dot" w:pos="9344"/>
        </w:tabs>
      </w:pPr>
      <w:hyperlink r:id="rId32" w:history="1">
        <w:r>
          <w:rPr>
            <w:rStyle w:val="a5"/>
            <w:b/>
            <w:iCs/>
          </w:rPr>
          <w:t>3.4.3. Доходный подход</w:t>
        </w:r>
        <w:r>
          <w:tab/>
          <w:t>181</w:t>
        </w:r>
      </w:hyperlink>
    </w:p>
    <w:p w:rsidR="00E85D42" w:rsidRDefault="008113B9">
      <w:pPr>
        <w:pStyle w:val="21"/>
        <w:tabs>
          <w:tab w:val="right" w:leader="dot" w:pos="9344"/>
        </w:tabs>
      </w:pPr>
      <w:hyperlink r:id="rId33" w:history="1">
        <w:r>
          <w:rPr>
            <w:rStyle w:val="a5"/>
            <w:b/>
          </w:rPr>
          <w:t>3.5. Информация об определении кадастровой стоимости индивидуально в отношении</w:t>
        </w:r>
        <w:r>
          <w:rPr>
            <w:rStyle w:val="a5"/>
            <w:b/>
          </w:rPr>
          <w:t xml:space="preserve"> объектов недвижимости.</w:t>
        </w:r>
        <w:r>
          <w:tab/>
          <w:t>182</w:t>
        </w:r>
      </w:hyperlink>
    </w:p>
    <w:p w:rsidR="00E85D42" w:rsidRDefault="008113B9">
      <w:pPr>
        <w:pStyle w:val="21"/>
        <w:tabs>
          <w:tab w:val="right" w:leader="dot" w:pos="880"/>
          <w:tab w:val="right" w:leader="dot" w:pos="9344"/>
        </w:tabs>
      </w:pPr>
      <w:hyperlink r:id="rId34" w:history="1">
        <w:r>
          <w:rPr>
            <w:rStyle w:val="a5"/>
            <w:b/>
          </w:rPr>
          <w:t>3.6.</w:t>
        </w:r>
        <w:r>
          <w:rPr>
            <w:rFonts w:ascii="Calibri" w:hAnsi="Calibri"/>
            <w:sz w:val="22"/>
            <w:szCs w:val="22"/>
          </w:rPr>
          <w:tab/>
        </w:r>
        <w:r>
          <w:rPr>
            <w:rStyle w:val="a5"/>
            <w:b/>
          </w:rPr>
          <w:t>Расчет земельных участков в рамках массовой оценки</w:t>
        </w:r>
        <w:r>
          <w:tab/>
          <w:t>186</w:t>
        </w:r>
      </w:hyperlink>
    </w:p>
    <w:p w:rsidR="00E85D42" w:rsidRDefault="008113B9">
      <w:pPr>
        <w:pStyle w:val="21"/>
        <w:tabs>
          <w:tab w:val="right" w:leader="dot" w:pos="9344"/>
        </w:tabs>
      </w:pPr>
      <w:hyperlink r:id="rId35" w:history="1">
        <w:r>
          <w:rPr>
            <w:rStyle w:val="a5"/>
            <w:b/>
          </w:rPr>
          <w:t>4. ЗАКЛЮЧИТЕЛЬНАЯ ГЛАВА</w:t>
        </w:r>
        <w:r>
          <w:tab/>
          <w:t>246</w:t>
        </w:r>
      </w:hyperlink>
    </w:p>
    <w:p w:rsidR="00E85D42" w:rsidRDefault="008113B9">
      <w:pPr>
        <w:pStyle w:val="21"/>
        <w:tabs>
          <w:tab w:val="right" w:leader="dot" w:pos="9344"/>
        </w:tabs>
      </w:pPr>
      <w:hyperlink r:id="rId36" w:history="1">
        <w:r>
          <w:rPr>
            <w:rStyle w:val="a5"/>
            <w:b/>
          </w:rPr>
          <w:t>4.1. Проведение контроля качества результатов о</w:t>
        </w:r>
        <w:r>
          <w:rPr>
            <w:rStyle w:val="a5"/>
            <w:b/>
          </w:rPr>
          <w:t>пределения кадастровой стоимости</w:t>
        </w:r>
        <w:r>
          <w:tab/>
          <w:t>246</w:t>
        </w:r>
      </w:hyperlink>
    </w:p>
    <w:p w:rsidR="00E85D42" w:rsidRDefault="008113B9">
      <w:pPr>
        <w:pStyle w:val="21"/>
        <w:tabs>
          <w:tab w:val="right" w:leader="dot" w:pos="880"/>
          <w:tab w:val="right" w:leader="dot" w:pos="9344"/>
        </w:tabs>
      </w:pPr>
      <w:hyperlink r:id="rId37" w:history="1">
        <w:r>
          <w:rPr>
            <w:rStyle w:val="a5"/>
            <w:b/>
          </w:rPr>
          <w:t>4.2.</w:t>
        </w:r>
        <w:r>
          <w:rPr>
            <w:rFonts w:ascii="Calibri" w:hAnsi="Calibri"/>
            <w:sz w:val="22"/>
            <w:szCs w:val="22"/>
          </w:rPr>
          <w:tab/>
        </w:r>
        <w:r>
          <w:rPr>
            <w:rStyle w:val="a5"/>
            <w:b/>
          </w:rPr>
          <w:t>Проверка качества процессов определения кадастровой стоимости</w:t>
        </w:r>
        <w:r>
          <w:tab/>
          <w:t>251</w:t>
        </w:r>
      </w:hyperlink>
    </w:p>
    <w:p w:rsidR="00E85D42" w:rsidRDefault="008113B9">
      <w:pPr>
        <w:pStyle w:val="21"/>
        <w:tabs>
          <w:tab w:val="right" w:leader="dot" w:pos="9344"/>
        </w:tabs>
      </w:pPr>
      <w:hyperlink r:id="rId38" w:history="1">
        <w:r>
          <w:rPr>
            <w:rStyle w:val="a5"/>
            <w:b/>
          </w:rPr>
          <w:t>4.3. Результаты определения кадастровой стоимости</w:t>
        </w:r>
        <w:r>
          <w:tab/>
          <w:t>252</w:t>
        </w:r>
      </w:hyperlink>
    </w:p>
    <w:p w:rsidR="00E85D42" w:rsidRDefault="008113B9">
      <w:pPr>
        <w:jc w:val="both"/>
      </w:pPr>
      <w:r>
        <w:rPr>
          <w:smallCaps/>
        </w:rPr>
        <w:fldChar w:fldCharType="end"/>
      </w:r>
      <w:bookmarkEnd w:id="57"/>
    </w:p>
    <w:p w:rsidR="00E85D42" w:rsidRDefault="00E85D42">
      <w:pPr>
        <w:pageBreakBefore/>
      </w:pPr>
    </w:p>
    <w:p w:rsidR="00E85D42" w:rsidRDefault="008113B9">
      <w:pPr>
        <w:pStyle w:val="ab"/>
        <w:keepNext/>
        <w:numPr>
          <w:ilvl w:val="0"/>
          <w:numId w:val="17"/>
        </w:numPr>
        <w:jc w:val="center"/>
        <w:rPr>
          <w:b/>
          <w:sz w:val="24"/>
        </w:rPr>
      </w:pPr>
      <w:bookmarkStart w:id="58" w:name="_Toc511658800"/>
      <w:bookmarkStart w:id="59" w:name="_Toc11934875"/>
      <w:bookmarkStart w:id="60" w:name="_Toc215394849"/>
      <w:bookmarkStart w:id="61" w:name="_Toc369687656"/>
      <w:bookmarkStart w:id="62" w:name="_Ref318375129"/>
      <w:bookmarkStart w:id="63" w:name="_Toc436142514"/>
      <w:r>
        <w:rPr>
          <w:b/>
          <w:sz w:val="24"/>
        </w:rPr>
        <w:t xml:space="preserve">ОСНОВНЫЕ ТЕРМИНЫ, </w:t>
      </w:r>
      <w:r>
        <w:rPr>
          <w:b/>
          <w:sz w:val="24"/>
        </w:rPr>
        <w:t>ИСПОЛЬЗУЕМЫЕ В ОТЧЕТЕ, И ИХ ОПРЕДЕЛЕНИЯ</w:t>
      </w:r>
      <w:bookmarkEnd w:id="58"/>
      <w:bookmarkEnd w:id="59"/>
    </w:p>
    <w:p w:rsidR="00E85D42" w:rsidRDefault="008113B9">
      <w:pPr>
        <w:pStyle w:val="ab"/>
        <w:keepNext/>
        <w:numPr>
          <w:ilvl w:val="1"/>
          <w:numId w:val="18"/>
        </w:numPr>
        <w:ind w:left="0" w:firstLine="0"/>
        <w:jc w:val="center"/>
        <w:rPr>
          <w:b/>
          <w:sz w:val="24"/>
        </w:rPr>
      </w:pPr>
      <w:bookmarkStart w:id="64" w:name="_Toc243295328"/>
      <w:bookmarkStart w:id="65" w:name="_Toc302658510"/>
      <w:bookmarkStart w:id="66" w:name="_Toc511658801"/>
      <w:bookmarkStart w:id="67" w:name="_Toc11934876"/>
      <w:r>
        <w:rPr>
          <w:b/>
          <w:sz w:val="24"/>
        </w:rPr>
        <w:t>Перечень терминов</w:t>
      </w:r>
      <w:bookmarkEnd w:id="64"/>
      <w:bookmarkEnd w:id="65"/>
      <w:bookmarkEnd w:id="66"/>
      <w:bookmarkEnd w:id="67"/>
    </w:p>
    <w:p w:rsidR="00E85D42" w:rsidRDefault="008113B9">
      <w:pPr>
        <w:jc w:val="both"/>
      </w:pPr>
      <w:r>
        <w:rPr>
          <w:b/>
          <w:sz w:val="24"/>
        </w:rPr>
        <w:t>Государственная кадастровая оценка</w:t>
      </w:r>
      <w:r>
        <w:rPr>
          <w:sz w:val="24"/>
        </w:rPr>
        <w:t xml:space="preserve"> – совокупность установленных частью 3 статьи 6 Федерального закона от 3 июля 2016 г. № 237-ФЗ «О государственной кадастровой оценке» (далее – ФЗ №237) процедур, на</w:t>
      </w:r>
      <w:r>
        <w:rPr>
          <w:sz w:val="24"/>
        </w:rPr>
        <w:t>правленных на определение кадастровой стоимости и осуществляемых в порядке, ФЗ № 237 (</w:t>
      </w:r>
      <w:bookmarkStart w:id="68" w:name="_Ref511592356"/>
      <w:r>
        <w:rPr>
          <w:sz w:val="24"/>
        </w:rPr>
        <w:t>Федеральный закон от 3 июля 2016 г. № 237-ФЗ «О государственной кадастровой оценке» в редакции от 29.07.2017г.</w:t>
      </w:r>
      <w:bookmarkEnd w:id="68"/>
      <w:r>
        <w:rPr>
          <w:sz w:val="24"/>
        </w:rPr>
        <w:t>).</w:t>
      </w:r>
    </w:p>
    <w:p w:rsidR="00E85D42" w:rsidRDefault="008113B9">
      <w:pPr>
        <w:jc w:val="both"/>
      </w:pPr>
      <w:r>
        <w:rPr>
          <w:b/>
          <w:sz w:val="24"/>
        </w:rPr>
        <w:t>Кадастровая стоимость</w:t>
      </w:r>
      <w:r>
        <w:rPr>
          <w:sz w:val="24"/>
        </w:rPr>
        <w:t xml:space="preserve"> – стоимость объекта недвижимости, о</w:t>
      </w:r>
      <w:r>
        <w:rPr>
          <w:sz w:val="24"/>
        </w:rPr>
        <w:t>пределенная в порядке, предусмотренном ФЗ № 237, в результате проведения государственной кадастровой оценки в соответствии с Приказом Минэкономразвития России от 12.05.2017 № 226 «Об утверждении методических указаний о государственной кадастровой оценке» и</w:t>
      </w:r>
      <w:r>
        <w:rPr>
          <w:sz w:val="24"/>
        </w:rPr>
        <w:t>ли в соответствии со статьей 16, 20, 21 или 22 ФЗ № 237 (Федеральный закон от 3 июля 2016 г. № 237-ФЗ «О государственной кадастровой оценке» в редакции от 29.07.2017г.).</w:t>
      </w:r>
    </w:p>
    <w:p w:rsidR="00E85D42" w:rsidRDefault="008113B9">
      <w:pPr>
        <w:jc w:val="both"/>
      </w:pPr>
      <w:r>
        <w:rPr>
          <w:b/>
          <w:sz w:val="24"/>
        </w:rPr>
        <w:t>Дата определения кадастровой стоимости</w:t>
      </w:r>
      <w:r>
        <w:rPr>
          <w:sz w:val="24"/>
        </w:rPr>
        <w:t xml:space="preserve"> – дата, по состоянию на которую осуществляется </w:t>
      </w:r>
      <w:r>
        <w:rPr>
          <w:sz w:val="24"/>
        </w:rPr>
        <w:t>определение кадастровой стоимости при проведении государственной кадастровой оценки (день, по состоянию на который сформирован перечень) (Федеральный закон от 3 июля 2016 г. № 237-ФЗ «О государственной кадастровой оценке» в редакции от 29.07.2017г.).</w:t>
      </w:r>
    </w:p>
    <w:p w:rsidR="00E85D42" w:rsidRDefault="008113B9">
      <w:pPr>
        <w:jc w:val="both"/>
      </w:pPr>
      <w:r>
        <w:rPr>
          <w:b/>
          <w:sz w:val="24"/>
        </w:rPr>
        <w:t>Земел</w:t>
      </w:r>
      <w:r>
        <w:rPr>
          <w:b/>
          <w:sz w:val="24"/>
        </w:rPr>
        <w:t>ьный участок</w:t>
      </w:r>
      <w:r>
        <w:rPr>
          <w:sz w:val="24"/>
        </w:rPr>
        <w:t xml:space="preserve"> - объект права собственности и иных предусмотренных Земельным кодексом Российской Федерации от 25.10.2001 № 136-ФЗ прав на землю является недвижимой вещью, которая представляет собой часть земной поверхности и имеет характеристики, позволяющие</w:t>
      </w:r>
      <w:r>
        <w:rPr>
          <w:sz w:val="24"/>
        </w:rPr>
        <w:t xml:space="preserve"> определить ее в качестве индивидуально определенной вещи </w:t>
      </w:r>
      <w:bookmarkStart w:id="69" w:name="_Ref511593174"/>
      <w:r>
        <w:rPr>
          <w:sz w:val="24"/>
        </w:rPr>
        <w:t>(Земельный кодекс Российской Федерации от 25.10.2001 № 136-ФЗ в редакции от 25.12.2018г.</w:t>
      </w:r>
      <w:bookmarkEnd w:id="69"/>
      <w:r>
        <w:rPr>
          <w:sz w:val="24"/>
        </w:rPr>
        <w:t>)</w:t>
      </w:r>
    </w:p>
    <w:p w:rsidR="00E85D42" w:rsidRDefault="008113B9">
      <w:pPr>
        <w:jc w:val="both"/>
      </w:pPr>
      <w:r>
        <w:rPr>
          <w:b/>
          <w:sz w:val="24"/>
        </w:rPr>
        <w:t>Земли населенных пунктов</w:t>
      </w:r>
      <w:r>
        <w:rPr>
          <w:sz w:val="24"/>
        </w:rPr>
        <w:t xml:space="preserve"> –</w:t>
      </w:r>
      <w:r>
        <w:t xml:space="preserve"> </w:t>
      </w:r>
      <w:r>
        <w:rPr>
          <w:sz w:val="24"/>
        </w:rPr>
        <w:t>земли, используемые и предназначенные для застройки и развития населенных пунктов</w:t>
      </w:r>
      <w:r>
        <w:rPr>
          <w:sz w:val="24"/>
        </w:rPr>
        <w:t>.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w:t>
      </w:r>
      <w:r>
        <w:rPr>
          <w:sz w:val="24"/>
        </w:rPr>
        <w:t xml:space="preserve"> границы земельных участков, предоставленных гражданам или юридическим лицам. (Земельный кодекс Российской Федерации от 25.10.2001 № 136-ФЗ в редакции от 25.12.2018г.)</w:t>
      </w:r>
    </w:p>
    <w:p w:rsidR="00E85D42" w:rsidRDefault="008113B9">
      <w:pPr>
        <w:autoSpaceDE w:val="0"/>
        <w:jc w:val="both"/>
      </w:pPr>
      <w:r>
        <w:rPr>
          <w:b/>
          <w:sz w:val="24"/>
        </w:rPr>
        <w:t xml:space="preserve">Земли водного фонда – </w:t>
      </w:r>
      <w:r>
        <w:rPr>
          <w:rFonts w:eastAsia="Calibri"/>
          <w:sz w:val="24"/>
          <w:szCs w:val="24"/>
          <w:lang w:eastAsia="en-US"/>
        </w:rPr>
        <w:t>земли, покрытые поверхностными водами, сосредоточенными в водных о</w:t>
      </w:r>
      <w:r>
        <w:rPr>
          <w:rFonts w:eastAsia="Calibri"/>
          <w:sz w:val="24"/>
          <w:szCs w:val="24"/>
          <w:lang w:eastAsia="en-US"/>
        </w:rPr>
        <w:t>бъектах; занятые гидротехническими и иными сооружениями, расположенными на водных объектах. На землях, покрытых поверхностными водами, не осуществляется образование земельных участков. В целях строительства водохранилищ и иных искусственных водных объектов</w:t>
      </w:r>
      <w:r>
        <w:rPr>
          <w:rFonts w:eastAsia="Calibri"/>
          <w:sz w:val="24"/>
          <w:szCs w:val="24"/>
          <w:lang w:eastAsia="en-US"/>
        </w:rPr>
        <w:t xml:space="preserve"> осуществляется резервирование земель. Порядок использования и охраны земель водного фонда определяется настоящим Земельным Кодексом и водным законодательством. </w:t>
      </w:r>
      <w:r>
        <w:rPr>
          <w:sz w:val="24"/>
        </w:rPr>
        <w:t>(Земельный кодекс Российской Федерации от 25.10.2001 № 136-ФЗ в редакции от 25.12.2018г.)</w:t>
      </w:r>
    </w:p>
    <w:p w:rsidR="00E85D42" w:rsidRDefault="008113B9">
      <w:pPr>
        <w:jc w:val="both"/>
      </w:pPr>
      <w:r>
        <w:rPr>
          <w:b/>
          <w:sz w:val="24"/>
        </w:rPr>
        <w:t>Вид и</w:t>
      </w:r>
      <w:r>
        <w:rPr>
          <w:b/>
          <w:sz w:val="24"/>
        </w:rPr>
        <w:t>спользования объекта недвижимости</w:t>
      </w:r>
      <w:r>
        <w:rPr>
          <w:sz w:val="24"/>
        </w:rPr>
        <w:t xml:space="preserve"> - использование в соответствии с его фактическим разрешенным использованием (</w:t>
      </w:r>
      <w:bookmarkStart w:id="70" w:name="_Ref511593762"/>
      <w:r>
        <w:rPr>
          <w:sz w:val="24"/>
        </w:rPr>
        <w:t>«Методические указания о государственной кадастровой оценке» утверждены Приказом Минэкономразвития России от 12.05.2017 № 226 (зарегистрировано в</w:t>
      </w:r>
      <w:r>
        <w:rPr>
          <w:sz w:val="24"/>
        </w:rPr>
        <w:t xml:space="preserve"> Минюсте России 29.05.2017 № 46860)).</w:t>
      </w:r>
      <w:bookmarkEnd w:id="70"/>
    </w:p>
    <w:p w:rsidR="00E85D42" w:rsidRDefault="008113B9">
      <w:pPr>
        <w:jc w:val="both"/>
      </w:pPr>
      <w:r>
        <w:rPr>
          <w:b/>
          <w:sz w:val="24"/>
        </w:rPr>
        <w:t>Фактическое разрешенное использование объекта недвижимости</w:t>
      </w:r>
      <w:r>
        <w:rPr>
          <w:sz w:val="24"/>
        </w:rPr>
        <w:t xml:space="preserve"> - фактическое (текущее) использование объекта недвижимости, не противоречащее установленным требованиям к использованию объекта недвижимости («Методические ука</w:t>
      </w:r>
      <w:r>
        <w:rPr>
          <w:sz w:val="24"/>
        </w:rPr>
        <w:t>зания о государственной кадастровой оценке» утверждены Приказом Минэкономразвития России от 12.05.2017 № 226 (зарегистрировано в Минюсте России 29.05.2017 № 46860)).</w:t>
      </w:r>
    </w:p>
    <w:p w:rsidR="00E85D42" w:rsidRDefault="008113B9">
      <w:pPr>
        <w:jc w:val="both"/>
      </w:pPr>
      <w:r>
        <w:rPr>
          <w:b/>
          <w:sz w:val="24"/>
        </w:rPr>
        <w:t>Группировка объектов недвижимости</w:t>
      </w:r>
      <w:r>
        <w:rPr>
          <w:sz w:val="24"/>
        </w:rPr>
        <w:t xml:space="preserve"> – группировка, ориентированная на сложившиеся сегменты р</w:t>
      </w:r>
      <w:r>
        <w:rPr>
          <w:sz w:val="24"/>
        </w:rPr>
        <w:t xml:space="preserve">ынка недвижимости и основанная на результатах анализа информации о рынке </w:t>
      </w:r>
      <w:r>
        <w:rPr>
          <w:sz w:val="24"/>
        </w:rPr>
        <w:lastRenderedPageBreak/>
        <w:t>объектов недвижимости, модели оценки кадастровой стоимости, состав ценообразующих факторов и сведений о значениях ценообразующих факторов объектов недвижимости для каждого исследуемог</w:t>
      </w:r>
      <w:r>
        <w:rPr>
          <w:sz w:val="24"/>
        </w:rPr>
        <w:t>о объекта недвижимости («Методические указания о государственной кадастровой оценке» утверждены Приказом Минэкономразвития России от 12.05.2017 № 226 (зарегистрировано в Минюсте России 29.05.2017 № 46860)).</w:t>
      </w:r>
    </w:p>
    <w:p w:rsidR="00E85D42" w:rsidRDefault="008113B9">
      <w:pPr>
        <w:jc w:val="both"/>
      </w:pPr>
      <w:r>
        <w:rPr>
          <w:b/>
          <w:sz w:val="24"/>
        </w:rPr>
        <w:t>Ценообразующий фактор объектов недвижимости</w:t>
      </w:r>
      <w:r>
        <w:rPr>
          <w:sz w:val="24"/>
        </w:rPr>
        <w:t xml:space="preserve"> - инф</w:t>
      </w:r>
      <w:r>
        <w:rPr>
          <w:sz w:val="24"/>
        </w:rPr>
        <w:t>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 («Методические указания о государственной кадастровой оценке» утверждены Приказом Мин</w:t>
      </w:r>
      <w:r>
        <w:rPr>
          <w:sz w:val="24"/>
        </w:rPr>
        <w:t>экономразвития России от 12.05.2017 № 226 (зарегистрировано в Минюсте России 29.05.2017 № 46860)).</w:t>
      </w:r>
    </w:p>
    <w:p w:rsidR="00E85D42" w:rsidRDefault="008113B9">
      <w:pPr>
        <w:jc w:val="both"/>
      </w:pPr>
      <w:r>
        <w:rPr>
          <w:b/>
          <w:sz w:val="24"/>
        </w:rPr>
        <w:t>Методы массовой оценки</w:t>
      </w:r>
      <w:r>
        <w:rPr>
          <w:sz w:val="24"/>
        </w:rPr>
        <w:t xml:space="preserve"> - методы, при которых осуществляется построение единых для групп объектов недвижимости, имеющих схожие характеристики, моделей определ</w:t>
      </w:r>
      <w:r>
        <w:rPr>
          <w:sz w:val="24"/>
        </w:rPr>
        <w:t>ения кадастровой стоимости («Методические указания о государственной кадастровой оценке» утверждены Приказом Минэкономразвития России от 12.05.2017 № 226 (зарегистрировано в Минюсте России 29.05.2017 № 46860)).</w:t>
      </w:r>
    </w:p>
    <w:p w:rsidR="00E85D42" w:rsidRDefault="008113B9">
      <w:pPr>
        <w:jc w:val="both"/>
      </w:pPr>
      <w:r>
        <w:rPr>
          <w:b/>
          <w:sz w:val="24"/>
        </w:rPr>
        <w:t>Индивидуальная оценка</w:t>
      </w:r>
      <w:r>
        <w:rPr>
          <w:sz w:val="24"/>
        </w:rPr>
        <w:t xml:space="preserve"> - процесс определения к</w:t>
      </w:r>
      <w:r>
        <w:rPr>
          <w:sz w:val="24"/>
        </w:rPr>
        <w:t>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 («Методические указания о государственной кадастровой оценке» утверждены Приказом Минэконо</w:t>
      </w:r>
      <w:r>
        <w:rPr>
          <w:sz w:val="24"/>
        </w:rPr>
        <w:t>мразвития России от 12.05.2017 № 226 (зарегистрировано в Минюсте России 29.05.2017 № 46860)).</w:t>
      </w:r>
    </w:p>
    <w:p w:rsidR="00E85D42" w:rsidRDefault="008113B9">
      <w:pPr>
        <w:jc w:val="both"/>
      </w:pPr>
      <w:r>
        <w:rPr>
          <w:b/>
          <w:sz w:val="24"/>
        </w:rPr>
        <w:t>Затратный подход</w:t>
      </w:r>
      <w:r>
        <w:rPr>
          <w:sz w:val="24"/>
        </w:rPr>
        <w:t xml:space="preserve"> – подход, основанный на определении затрат, необходимых для приобретения, воспроизводства или замещения объекта недвижимости («Методические указа</w:t>
      </w:r>
      <w:r>
        <w:rPr>
          <w:sz w:val="24"/>
        </w:rPr>
        <w:t>ния о государственной кадастровой оценке» утверждены Приказом Минэкономразвития России от 12.05.2017 № 226 (зарегистрировано в Минюсте России 29.05.2017 № 46860)).</w:t>
      </w:r>
    </w:p>
    <w:p w:rsidR="00E85D42" w:rsidRDefault="008113B9">
      <w:pPr>
        <w:jc w:val="both"/>
      </w:pPr>
      <w:r>
        <w:rPr>
          <w:b/>
          <w:sz w:val="24"/>
        </w:rPr>
        <w:t>Сравнительный подход</w:t>
      </w:r>
      <w:r>
        <w:rPr>
          <w:sz w:val="24"/>
        </w:rPr>
        <w:t xml:space="preserve"> – подход, основанный на сравнении цен сделок (предложений) по аналогичн</w:t>
      </w:r>
      <w:r>
        <w:rPr>
          <w:sz w:val="24"/>
        </w:rPr>
        <w:t>ым объектам недвижимости («Методические указания о государственной кадастровой оценке» утверждены Приказом Минэкономразвития России от 12.05.2017 № 226 (зарегистрировано в Минюсте России 29.05.2017 № 46860)).</w:t>
      </w:r>
    </w:p>
    <w:p w:rsidR="00E85D42" w:rsidRDefault="008113B9">
      <w:pPr>
        <w:jc w:val="both"/>
      </w:pPr>
      <w:r>
        <w:rPr>
          <w:b/>
          <w:sz w:val="24"/>
        </w:rPr>
        <w:t>Доходный подход</w:t>
      </w:r>
      <w:r>
        <w:rPr>
          <w:sz w:val="24"/>
        </w:rPr>
        <w:t xml:space="preserve"> – подход, основанный на определ</w:t>
      </w:r>
      <w:r>
        <w:rPr>
          <w:sz w:val="24"/>
        </w:rPr>
        <w:t>ении ожидаемых доходов от использования объектов недвижимости («Методические указания о государственной кадастровой оценке» утверждены Приказом Минэкономразвития России от 12.05.2017 № 226 (зарегистрировано в Минюсте России 29.05.2017 № 46860)).</w:t>
      </w:r>
    </w:p>
    <w:p w:rsidR="00E85D42" w:rsidRDefault="008113B9">
      <w:pPr>
        <w:jc w:val="both"/>
      </w:pPr>
      <w:r>
        <w:rPr>
          <w:b/>
          <w:sz w:val="24"/>
        </w:rPr>
        <w:t>Статистиче</w:t>
      </w:r>
      <w:r>
        <w:rPr>
          <w:b/>
          <w:sz w:val="24"/>
        </w:rPr>
        <w:t>ская модель оценки</w:t>
      </w:r>
      <w:r>
        <w:rPr>
          <w:sz w:val="24"/>
        </w:rPr>
        <w:t xml:space="preserve"> -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 («Методические указания о государственной кадастровой оцен</w:t>
      </w:r>
      <w:r>
        <w:rPr>
          <w:sz w:val="24"/>
        </w:rPr>
        <w:t>ке» утверждены Приказом Минэкономразвития России от 12.05.2017 № 226 (зарегистрировано в Минюсте России 29.05.2017 № 46860)).</w:t>
      </w:r>
    </w:p>
    <w:p w:rsidR="00E85D42" w:rsidRDefault="008113B9">
      <w:pPr>
        <w:jc w:val="both"/>
      </w:pPr>
      <w:r>
        <w:rPr>
          <w:b/>
          <w:sz w:val="24"/>
        </w:rPr>
        <w:t xml:space="preserve">Оценочное зонирование </w:t>
      </w:r>
      <w:r>
        <w:rPr>
          <w:sz w:val="24"/>
        </w:rPr>
        <w:t>- систематизация на дату определения кадастровой стоимости рыночной информации о сделках (предложениях) с ти</w:t>
      </w:r>
      <w:r>
        <w:rPr>
          <w:sz w:val="24"/>
        </w:rPr>
        <w:t>повыми объектами недвижимости исходя из их местоположения и вида использования с учетом существующего и перспективного развития, а также затрат на создание указанных объектов («Методические указания о государственной кадастровой оценке» утверждены Приказом</w:t>
      </w:r>
      <w:r>
        <w:rPr>
          <w:sz w:val="24"/>
        </w:rPr>
        <w:t xml:space="preserve"> Минэкономразвития России от 12.05.2017 № 226 (зарегистрировано в Минюсте России 29.05.2017 № 46860)).</w:t>
      </w:r>
    </w:p>
    <w:p w:rsidR="00E85D42" w:rsidRDefault="008113B9">
      <w:pPr>
        <w:jc w:val="both"/>
      </w:pPr>
      <w:r>
        <w:rPr>
          <w:b/>
          <w:sz w:val="24"/>
        </w:rPr>
        <w:t>Ценовая зона</w:t>
      </w:r>
      <w:r>
        <w:rPr>
          <w:sz w:val="24"/>
        </w:rPr>
        <w:t xml:space="preserve"> - часть территории, в границах которой определены близкие по значению удельные показатели средних рыночных цен типовых объектов недвижимости</w:t>
      </w:r>
      <w:r>
        <w:rPr>
          <w:sz w:val="24"/>
        </w:rPr>
        <w:t xml:space="preserve"> («Методические указания о государственной кадастровой оценке» утверждены Приказом Минэкономразвития России от 12.05.2017 № 226 (зарегистрировано в Минюсте России 29.05.2017 № 46860)).</w:t>
      </w:r>
    </w:p>
    <w:p w:rsidR="00E85D42" w:rsidRDefault="008113B9">
      <w:pPr>
        <w:jc w:val="both"/>
      </w:pPr>
      <w:r>
        <w:rPr>
          <w:b/>
          <w:sz w:val="24"/>
        </w:rPr>
        <w:lastRenderedPageBreak/>
        <w:t>Типовой объект недвижимости</w:t>
      </w:r>
      <w:r>
        <w:rPr>
          <w:sz w:val="24"/>
        </w:rPr>
        <w:t xml:space="preserve"> - объект недвижимости, основные физические </w:t>
      </w:r>
      <w:r>
        <w:rPr>
          <w:sz w:val="24"/>
        </w:rPr>
        <w:t xml:space="preserve">и иные характеристики вида, использования которого наиболее соответствуют спросу и предложению на соответствующем сегменте рынка («Методические указания о государственной кадастровой оценке» утверждены Приказом Минэкономразвития России от 12.05.2017 № 226 </w:t>
      </w:r>
      <w:r>
        <w:rPr>
          <w:sz w:val="24"/>
        </w:rPr>
        <w:t>(зарегистрировано в Минюсте России 29.05.2017 № 46860)).</w:t>
      </w:r>
    </w:p>
    <w:p w:rsidR="00E85D42" w:rsidRDefault="008113B9">
      <w:pPr>
        <w:jc w:val="both"/>
      </w:pPr>
      <w:r>
        <w:rPr>
          <w:b/>
          <w:sz w:val="24"/>
        </w:rPr>
        <w:t>Рыночная информация</w:t>
      </w:r>
      <w:r>
        <w:rPr>
          <w:sz w:val="24"/>
        </w:rPr>
        <w:t xml:space="preserve"> – 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w:t>
      </w:r>
      <w:r>
        <w:rPr>
          <w:sz w:val="24"/>
        </w:rPr>
        <w:t>информация об иных показателях, используемых для определения рыночной стоимости объектов недвижимости («Методические указания о государственной кадастровой оценке» утверждены Приказом Минэкономразвития России от 12.05.2017 № 226 (зарегистрировано в Минюсте</w:t>
      </w:r>
      <w:r>
        <w:rPr>
          <w:sz w:val="24"/>
        </w:rPr>
        <w:t xml:space="preserve"> России 29.05.2017 № 46860)).</w:t>
      </w:r>
    </w:p>
    <w:p w:rsidR="00E85D42" w:rsidRDefault="00E85D42">
      <w:pPr>
        <w:jc w:val="both"/>
        <w:rPr>
          <w:sz w:val="24"/>
        </w:rPr>
      </w:pPr>
    </w:p>
    <w:p w:rsidR="00E85D42" w:rsidRDefault="008113B9">
      <w:pPr>
        <w:pStyle w:val="ab"/>
        <w:keepNext/>
        <w:numPr>
          <w:ilvl w:val="1"/>
          <w:numId w:val="18"/>
        </w:numPr>
        <w:jc w:val="both"/>
        <w:rPr>
          <w:b/>
          <w:sz w:val="24"/>
        </w:rPr>
      </w:pPr>
      <w:bookmarkStart w:id="71" w:name="_Toc511658802"/>
      <w:bookmarkStart w:id="72" w:name="_Toc11934877"/>
      <w:r>
        <w:rPr>
          <w:b/>
          <w:sz w:val="24"/>
        </w:rPr>
        <w:t>Перечень сокращений, используемых в Отчете</w:t>
      </w:r>
      <w:bookmarkEnd w:id="71"/>
      <w:bookmarkEnd w:id="72"/>
    </w:p>
    <w:p w:rsidR="00E85D42" w:rsidRDefault="008113B9">
      <w:pPr>
        <w:jc w:val="both"/>
      </w:pPr>
      <w:r>
        <w:rPr>
          <w:b/>
          <w:sz w:val="24"/>
        </w:rPr>
        <w:t>ГКО</w:t>
      </w:r>
      <w:r>
        <w:rPr>
          <w:sz w:val="24"/>
        </w:rPr>
        <w:t> – государственная кадастровая оценка.</w:t>
      </w:r>
    </w:p>
    <w:p w:rsidR="00E85D42" w:rsidRDefault="008113B9">
      <w:pPr>
        <w:jc w:val="both"/>
      </w:pPr>
      <w:r>
        <w:rPr>
          <w:b/>
          <w:sz w:val="24"/>
        </w:rPr>
        <w:t>ЗНП</w:t>
      </w:r>
      <w:r>
        <w:rPr>
          <w:sz w:val="24"/>
        </w:rPr>
        <w:t> – земли населенных пунктов.</w:t>
      </w:r>
    </w:p>
    <w:p w:rsidR="00E85D42" w:rsidRDefault="008113B9">
      <w:pPr>
        <w:jc w:val="both"/>
      </w:pPr>
      <w:r>
        <w:rPr>
          <w:b/>
          <w:sz w:val="24"/>
        </w:rPr>
        <w:t>ВФ</w:t>
      </w:r>
      <w:r>
        <w:rPr>
          <w:sz w:val="24"/>
        </w:rPr>
        <w:t xml:space="preserve"> - земли водного фонда.</w:t>
      </w:r>
    </w:p>
    <w:p w:rsidR="00E85D42" w:rsidRDefault="008113B9">
      <w:pPr>
        <w:jc w:val="both"/>
      </w:pPr>
      <w:r>
        <w:rPr>
          <w:b/>
          <w:sz w:val="24"/>
          <w:szCs w:val="24"/>
        </w:rPr>
        <w:t>АИС ГКО</w:t>
      </w:r>
      <w:r>
        <w:rPr>
          <w:sz w:val="24"/>
          <w:szCs w:val="24"/>
        </w:rPr>
        <w:t xml:space="preserve"> - </w:t>
      </w:r>
      <w:r>
        <w:rPr>
          <w:rStyle w:val="afff2"/>
          <w:b/>
          <w:bCs/>
          <w:i w:val="0"/>
          <w:iCs w:val="0"/>
          <w:sz w:val="24"/>
          <w:szCs w:val="24"/>
          <w:shd w:val="clear" w:color="auto" w:fill="FFFFFF"/>
        </w:rPr>
        <w:t>Автоматизированной информационной системы</w:t>
      </w:r>
      <w:r>
        <w:rPr>
          <w:sz w:val="24"/>
          <w:szCs w:val="24"/>
          <w:shd w:val="clear" w:color="auto" w:fill="FFFFFF"/>
        </w:rPr>
        <w:t> обеспечения государственной ка</w:t>
      </w:r>
      <w:r>
        <w:rPr>
          <w:sz w:val="24"/>
          <w:szCs w:val="24"/>
          <w:shd w:val="clear" w:color="auto" w:fill="FFFFFF"/>
        </w:rPr>
        <w:t>дастровой оценки. Расчет кадастровой стоимости объектов недвижимости.</w:t>
      </w:r>
    </w:p>
    <w:p w:rsidR="00E85D42" w:rsidRDefault="008113B9">
      <w:pPr>
        <w:jc w:val="both"/>
      </w:pPr>
      <w:r>
        <w:rPr>
          <w:b/>
          <w:sz w:val="24"/>
          <w:szCs w:val="24"/>
        </w:rPr>
        <w:t xml:space="preserve">ГИС ИнГЕО </w:t>
      </w:r>
      <w:r>
        <w:rPr>
          <w:sz w:val="24"/>
          <w:szCs w:val="24"/>
        </w:rPr>
        <w:t xml:space="preserve">- </w:t>
      </w:r>
      <w:r>
        <w:rPr>
          <w:sz w:val="24"/>
          <w:szCs w:val="24"/>
          <w:shd w:val="clear" w:color="auto" w:fill="FFFFFF"/>
        </w:rPr>
        <w:t>Инструментальная </w:t>
      </w:r>
      <w:r>
        <w:rPr>
          <w:rStyle w:val="afff2"/>
          <w:bCs/>
          <w:i w:val="0"/>
          <w:iCs w:val="0"/>
          <w:sz w:val="24"/>
          <w:szCs w:val="24"/>
          <w:shd w:val="clear" w:color="auto" w:fill="FFFFFF"/>
        </w:rPr>
        <w:t xml:space="preserve">геоинформационная система </w:t>
      </w:r>
      <w:r>
        <w:rPr>
          <w:sz w:val="24"/>
          <w:szCs w:val="24"/>
          <w:shd w:val="clear" w:color="auto" w:fill="FFFFFF"/>
        </w:rPr>
        <w:t>«</w:t>
      </w:r>
      <w:r>
        <w:rPr>
          <w:rStyle w:val="afff2"/>
          <w:bCs/>
          <w:i w:val="0"/>
          <w:iCs w:val="0"/>
          <w:sz w:val="24"/>
          <w:szCs w:val="24"/>
          <w:shd w:val="clear" w:color="auto" w:fill="FFFFFF"/>
        </w:rPr>
        <w:t>ИнГео»</w:t>
      </w:r>
      <w:r>
        <w:rPr>
          <w:sz w:val="24"/>
          <w:szCs w:val="24"/>
          <w:shd w:val="clear" w:color="auto" w:fill="FFFFFF"/>
        </w:rPr>
        <w:t>.</w:t>
      </w:r>
    </w:p>
    <w:p w:rsidR="00E85D42" w:rsidRDefault="008113B9">
      <w:pPr>
        <w:jc w:val="both"/>
      </w:pPr>
      <w:r>
        <w:rPr>
          <w:b/>
          <w:sz w:val="24"/>
          <w:szCs w:val="24"/>
        </w:rPr>
        <w:t>ГИС «MapInfo»</w:t>
      </w:r>
      <w:r>
        <w:t xml:space="preserve"> </w:t>
      </w:r>
      <w:r>
        <w:rPr>
          <w:sz w:val="24"/>
          <w:szCs w:val="24"/>
        </w:rPr>
        <w:t xml:space="preserve">- </w:t>
      </w:r>
      <w:r>
        <w:rPr>
          <w:rStyle w:val="afff2"/>
          <w:bCs/>
          <w:i w:val="0"/>
          <w:iCs w:val="0"/>
          <w:sz w:val="24"/>
          <w:szCs w:val="24"/>
          <w:shd w:val="clear" w:color="auto" w:fill="FFFFFF"/>
        </w:rPr>
        <w:t xml:space="preserve">географическая информационная система </w:t>
      </w:r>
      <w:r>
        <w:rPr>
          <w:sz w:val="24"/>
          <w:szCs w:val="24"/>
        </w:rPr>
        <w:t>«MapInfo».</w:t>
      </w:r>
    </w:p>
    <w:p w:rsidR="00E85D42" w:rsidRDefault="008113B9">
      <w:pPr>
        <w:jc w:val="both"/>
      </w:pPr>
      <w:r>
        <w:rPr>
          <w:b/>
          <w:sz w:val="24"/>
          <w:szCs w:val="24"/>
        </w:rPr>
        <w:t>Росреестр</w:t>
      </w:r>
      <w:r>
        <w:rPr>
          <w:sz w:val="24"/>
          <w:szCs w:val="24"/>
        </w:rPr>
        <w:t> – Федеральная служба государственной регистраци</w:t>
      </w:r>
      <w:r>
        <w:rPr>
          <w:sz w:val="24"/>
          <w:szCs w:val="24"/>
        </w:rPr>
        <w:t>и, кадастра и картографии</w:t>
      </w:r>
      <w:r>
        <w:rPr>
          <w:sz w:val="24"/>
        </w:rPr>
        <w:t>.</w:t>
      </w:r>
    </w:p>
    <w:p w:rsidR="00E85D42" w:rsidRDefault="008113B9">
      <w:pPr>
        <w:jc w:val="both"/>
      </w:pPr>
      <w:r>
        <w:rPr>
          <w:b/>
          <w:sz w:val="24"/>
        </w:rPr>
        <w:t>Перечень</w:t>
      </w:r>
      <w:r>
        <w:rPr>
          <w:sz w:val="24"/>
        </w:rPr>
        <w:t xml:space="preserve"> – перечень объектов недвижимости, подлежащих государственной кадастровой оценке, сформированный в соответствии с Приказом Минэкономразвития России от 20.02.2017 № 74 «Об утверждении Порядка формирования и предоставления </w:t>
      </w:r>
      <w:r>
        <w:rPr>
          <w:sz w:val="24"/>
        </w:rPr>
        <w:t>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w:t>
      </w:r>
      <w:r>
        <w:rPr>
          <w:sz w:val="24"/>
        </w:rPr>
        <w:t>, требования к содержанию запроса о предоставлении перечня объектов недвижимости, подлежащих государственной кадастровой оценке» (зарегистрировано в Минюсте России 21.03.2017 № 46049).</w:t>
      </w:r>
    </w:p>
    <w:p w:rsidR="00E85D42" w:rsidRDefault="008113B9">
      <w:pPr>
        <w:jc w:val="both"/>
      </w:pPr>
      <w:r>
        <w:rPr>
          <w:b/>
          <w:sz w:val="24"/>
        </w:rPr>
        <w:t>Сведения ЕГРН</w:t>
      </w:r>
      <w:r>
        <w:rPr>
          <w:sz w:val="24"/>
        </w:rPr>
        <w:t xml:space="preserve"> – сведения об объектах недвижимости (здания, помещения, с</w:t>
      </w:r>
      <w:r>
        <w:rPr>
          <w:sz w:val="24"/>
        </w:rPr>
        <w:t>ооружения, объекты незавершенного строительства, а также земельные участки), содержащиеся в Едином государственном реестре недвижимости (Федеральный закон от 13.07.2015 № 218-ФЗ «О государственной регистрации недвижимости»)</w:t>
      </w:r>
    </w:p>
    <w:p w:rsidR="00E85D42" w:rsidRDefault="008113B9">
      <w:pPr>
        <w:jc w:val="both"/>
      </w:pPr>
      <w:r>
        <w:rPr>
          <w:b/>
          <w:sz w:val="24"/>
        </w:rPr>
        <w:t>ПКК</w:t>
      </w:r>
      <w:r>
        <w:rPr>
          <w:sz w:val="24"/>
        </w:rPr>
        <w:t> – Публичная кадастровая карт</w:t>
      </w:r>
      <w:r>
        <w:rPr>
          <w:sz w:val="24"/>
        </w:rPr>
        <w:t>а.</w:t>
      </w:r>
    </w:p>
    <w:p w:rsidR="00E85D42" w:rsidRDefault="008113B9">
      <w:pPr>
        <w:jc w:val="both"/>
      </w:pPr>
      <w:r>
        <w:rPr>
          <w:b/>
          <w:sz w:val="24"/>
        </w:rPr>
        <w:t>ЕГРН</w:t>
      </w:r>
      <w:r>
        <w:rPr>
          <w:sz w:val="24"/>
        </w:rPr>
        <w:t> – Единый государственный реестр недвижимости.</w:t>
      </w:r>
    </w:p>
    <w:p w:rsidR="00E85D42" w:rsidRDefault="008113B9">
      <w:pPr>
        <w:jc w:val="both"/>
      </w:pPr>
      <w:r>
        <w:rPr>
          <w:b/>
          <w:sz w:val="24"/>
        </w:rPr>
        <w:t>ГИС</w:t>
      </w:r>
      <w:r>
        <w:rPr>
          <w:sz w:val="24"/>
        </w:rPr>
        <w:t> – Геоинформационная система</w:t>
      </w:r>
    </w:p>
    <w:p w:rsidR="00E85D42" w:rsidRDefault="008113B9">
      <w:pPr>
        <w:jc w:val="both"/>
      </w:pPr>
      <w:r>
        <w:rPr>
          <w:b/>
          <w:sz w:val="24"/>
        </w:rPr>
        <w:t>ЗУ</w:t>
      </w:r>
      <w:r>
        <w:rPr>
          <w:sz w:val="24"/>
        </w:rPr>
        <w:t> – земельные участки.</w:t>
      </w:r>
    </w:p>
    <w:p w:rsidR="00E85D42" w:rsidRDefault="008113B9">
      <w:pPr>
        <w:jc w:val="both"/>
      </w:pPr>
      <w:r>
        <w:rPr>
          <w:b/>
          <w:sz w:val="24"/>
        </w:rPr>
        <w:t>КЛАДР</w:t>
      </w:r>
      <w:r>
        <w:rPr>
          <w:sz w:val="24"/>
        </w:rPr>
        <w:t> – общероссийский адресный классификатор.</w:t>
      </w:r>
    </w:p>
    <w:p w:rsidR="00E85D42" w:rsidRDefault="008113B9">
      <w:pPr>
        <w:jc w:val="both"/>
      </w:pPr>
      <w:r>
        <w:rPr>
          <w:b/>
          <w:sz w:val="24"/>
        </w:rPr>
        <w:t>УПКС</w:t>
      </w:r>
      <w:r>
        <w:rPr>
          <w:sz w:val="24"/>
        </w:rPr>
        <w:t> – удельный показатель кадастровой стоимости, измеряется в руб./кв.м.</w:t>
      </w:r>
    </w:p>
    <w:p w:rsidR="00E85D42" w:rsidRDefault="008113B9">
      <w:pPr>
        <w:jc w:val="both"/>
      </w:pPr>
      <w:r>
        <w:rPr>
          <w:b/>
          <w:sz w:val="24"/>
        </w:rPr>
        <w:t>Минэкономразвития РФ</w:t>
      </w:r>
      <w:r>
        <w:rPr>
          <w:sz w:val="24"/>
        </w:rPr>
        <w:t> – Министерство экономического развития Российской Федерации.</w:t>
      </w:r>
    </w:p>
    <w:p w:rsidR="00E85D42" w:rsidRDefault="008113B9">
      <w:pPr>
        <w:jc w:val="both"/>
      </w:pPr>
      <w:r>
        <w:rPr>
          <w:b/>
          <w:sz w:val="24"/>
        </w:rPr>
        <w:t>Уполномоченный орган</w:t>
      </w:r>
      <w:r>
        <w:rPr>
          <w:sz w:val="24"/>
        </w:rPr>
        <w:t> – уполномоченный в сфере проведения государственной кадастровой оценки орган исполнительной власти субъекта Российской Федерации. В рамках настоящей оценки - Министерство Зе</w:t>
      </w:r>
      <w:r>
        <w:rPr>
          <w:sz w:val="24"/>
        </w:rPr>
        <w:t>мельных и Имущественных Отношений Республики Башкортостан.</w:t>
      </w:r>
    </w:p>
    <w:p w:rsidR="00E85D42" w:rsidRDefault="008113B9">
      <w:pPr>
        <w:jc w:val="both"/>
      </w:pPr>
      <w:r>
        <w:rPr>
          <w:b/>
          <w:sz w:val="24"/>
        </w:rPr>
        <w:t>Государственное бюджетное учреждение или ГБУ</w:t>
      </w:r>
      <w:r>
        <w:rPr>
          <w:sz w:val="24"/>
        </w:rPr>
        <w:t xml:space="preserve"> - уполномоченный орган субъекта Российской Федерации, наделенный полномочиями, связанными с определением кадастровой стоимости (Федеральный закон от 03.</w:t>
      </w:r>
      <w:r>
        <w:rPr>
          <w:sz w:val="24"/>
        </w:rPr>
        <w:t>07.2016 N 237-ФЗ (ред. от 29.07.2017) "О государственной кадастровой оценке").</w:t>
      </w:r>
    </w:p>
    <w:p w:rsidR="00E85D42" w:rsidRDefault="00E85D42">
      <w:pPr>
        <w:jc w:val="both"/>
        <w:rPr>
          <w:sz w:val="24"/>
        </w:rPr>
      </w:pPr>
    </w:p>
    <w:p w:rsidR="00E85D42" w:rsidRDefault="008113B9">
      <w:pPr>
        <w:jc w:val="both"/>
      </w:pPr>
      <w:r>
        <w:rPr>
          <w:b/>
          <w:sz w:val="24"/>
        </w:rPr>
        <w:t>Государственное бюджетное учреждение Республики Башкортостан «Государственная кадастровая оценка и Техническая инвентаризация» или ГБУ РБ «ГКО и ТИ»</w:t>
      </w:r>
      <w:r>
        <w:rPr>
          <w:sz w:val="24"/>
        </w:rPr>
        <w:t xml:space="preserve"> - уполномоченный орган, над</w:t>
      </w:r>
      <w:r>
        <w:rPr>
          <w:sz w:val="24"/>
        </w:rPr>
        <w:t>еленный полномочиями, связанными с определением кадастровой стоимости в Республике Башкортостан (Распоряжение Правительства РБ №53-р от 1 февраля 2017 года (решение о преобразовании ГУП БТИ РБ в ГБУ РБ «Государственная кадастровая оценка и техническая инве</w:t>
      </w:r>
      <w:r>
        <w:rPr>
          <w:sz w:val="24"/>
        </w:rPr>
        <w:t>нтаризация»).</w:t>
      </w:r>
    </w:p>
    <w:p w:rsidR="00E85D42" w:rsidRDefault="008113B9">
      <w:pPr>
        <w:jc w:val="both"/>
      </w:pPr>
      <w:r>
        <w:rPr>
          <w:b/>
          <w:sz w:val="24"/>
        </w:rPr>
        <w:t>ГК РФ</w:t>
      </w:r>
      <w:r>
        <w:rPr>
          <w:sz w:val="24"/>
        </w:rPr>
        <w:t> – Гражданский кодекс Российской Федерации.</w:t>
      </w:r>
    </w:p>
    <w:p w:rsidR="00E85D42" w:rsidRDefault="008113B9">
      <w:pPr>
        <w:jc w:val="both"/>
      </w:pPr>
      <w:r>
        <w:rPr>
          <w:b/>
          <w:sz w:val="24"/>
        </w:rPr>
        <w:t>ЗК РФ</w:t>
      </w:r>
      <w:r>
        <w:rPr>
          <w:sz w:val="24"/>
        </w:rPr>
        <w:t> – Земельный кодекс Российской Федерации.</w:t>
      </w:r>
    </w:p>
    <w:p w:rsidR="00E85D42" w:rsidRDefault="008113B9">
      <w:pPr>
        <w:jc w:val="both"/>
      </w:pPr>
      <w:r>
        <w:rPr>
          <w:b/>
          <w:sz w:val="24"/>
        </w:rPr>
        <w:t>ЛК РФ</w:t>
      </w:r>
      <w:r>
        <w:rPr>
          <w:sz w:val="24"/>
        </w:rPr>
        <w:t> – Лесной кодекс РФ.</w:t>
      </w:r>
    </w:p>
    <w:p w:rsidR="00E85D42" w:rsidRDefault="008113B9">
      <w:pPr>
        <w:jc w:val="both"/>
      </w:pPr>
      <w:r>
        <w:rPr>
          <w:b/>
          <w:sz w:val="24"/>
        </w:rPr>
        <w:t>ВК РФ</w:t>
      </w:r>
      <w:r>
        <w:rPr>
          <w:sz w:val="24"/>
        </w:rPr>
        <w:t xml:space="preserve"> – Водный кодекс РФ.</w:t>
      </w:r>
    </w:p>
    <w:p w:rsidR="00E85D42" w:rsidRDefault="008113B9">
      <w:pPr>
        <w:jc w:val="both"/>
      </w:pPr>
      <w:r>
        <w:rPr>
          <w:b/>
          <w:sz w:val="24"/>
        </w:rPr>
        <w:t>НК РФ</w:t>
      </w:r>
      <w:r>
        <w:rPr>
          <w:sz w:val="24"/>
        </w:rPr>
        <w:t> – Налоговый кодекс РФ.</w:t>
      </w:r>
    </w:p>
    <w:p w:rsidR="00E85D42" w:rsidRDefault="008113B9">
      <w:pPr>
        <w:jc w:val="both"/>
      </w:pPr>
      <w:r>
        <w:rPr>
          <w:b/>
          <w:sz w:val="24"/>
        </w:rPr>
        <w:t>ФЗ №237</w:t>
      </w:r>
      <w:r>
        <w:rPr>
          <w:sz w:val="24"/>
        </w:rPr>
        <w:t xml:space="preserve"> – Федеральный закон от 3 июля 2016 г. № 237-ФЗ «О </w:t>
      </w:r>
      <w:r>
        <w:rPr>
          <w:sz w:val="24"/>
        </w:rPr>
        <w:t>государственной кадастровой оценке».</w:t>
      </w:r>
    </w:p>
    <w:p w:rsidR="00E85D42" w:rsidRDefault="008113B9">
      <w:pPr>
        <w:jc w:val="both"/>
      </w:pPr>
      <w:r>
        <w:rPr>
          <w:b/>
          <w:sz w:val="24"/>
        </w:rPr>
        <w:t>Методические указания или МУ</w:t>
      </w:r>
      <w:r>
        <w:rPr>
          <w:sz w:val="24"/>
        </w:rPr>
        <w:t> – Приказ Минэкономразвития России от 12.05.2017 № 226 «Об утверждении методических указаний о государственной кадастровой оценке» (Зарегистрировано в Минюсте России 29.05.2017 № 46860).</w:t>
      </w:r>
    </w:p>
    <w:p w:rsidR="00E85D42" w:rsidRDefault="008113B9">
      <w:pPr>
        <w:jc w:val="both"/>
      </w:pPr>
      <w:r>
        <w:rPr>
          <w:b/>
          <w:sz w:val="24"/>
        </w:rPr>
        <w:t>Треб</w:t>
      </w:r>
      <w:r>
        <w:rPr>
          <w:b/>
          <w:sz w:val="24"/>
        </w:rPr>
        <w:t>ования к Отчету</w:t>
      </w:r>
      <w:r>
        <w:rPr>
          <w:sz w:val="24"/>
        </w:rPr>
        <w:t> – Приказ Минэкономразвития России от 09.06.2017 № 284 «Об утверждении Требований к отчету об итогах государственной кадастровой оценки» (зарегистрировано в Минюсте России 21.08.2017 № 47879).</w:t>
      </w:r>
    </w:p>
    <w:p w:rsidR="00E85D42" w:rsidRDefault="008113B9">
      <w:pPr>
        <w:jc w:val="both"/>
      </w:pPr>
      <w:r>
        <w:rPr>
          <w:b/>
          <w:sz w:val="24"/>
        </w:rPr>
        <w:t>Приказ Минэкономразвития России № 74</w:t>
      </w:r>
      <w:r>
        <w:rPr>
          <w:sz w:val="24"/>
        </w:rPr>
        <w:t> – Приказ Ми</w:t>
      </w:r>
      <w:r>
        <w:rPr>
          <w:sz w:val="24"/>
        </w:rPr>
        <w:t>нэкономразвития России от 20.02.2017 № 74 «Об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w:t>
      </w:r>
      <w:r>
        <w:rPr>
          <w:sz w:val="24"/>
        </w:rPr>
        <w:t>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(зарегистрировано в Минюсте Рос</w:t>
      </w:r>
      <w:r>
        <w:rPr>
          <w:sz w:val="24"/>
        </w:rPr>
        <w:t>сии 21.03.2017 № 46049).</w:t>
      </w:r>
    </w:p>
    <w:p w:rsidR="00E85D42" w:rsidRDefault="008113B9">
      <w:pPr>
        <w:jc w:val="both"/>
      </w:pPr>
      <w:r>
        <w:rPr>
          <w:b/>
          <w:sz w:val="24"/>
        </w:rPr>
        <w:t>Классификатор №</w:t>
      </w:r>
      <w:r>
        <w:rPr>
          <w:b/>
          <w:sz w:val="24"/>
          <w:lang w:val="en-US"/>
        </w:rPr>
        <w:t> </w:t>
      </w:r>
      <w:r>
        <w:rPr>
          <w:b/>
          <w:sz w:val="24"/>
        </w:rPr>
        <w:t>540 </w:t>
      </w:r>
      <w:r>
        <w:rPr>
          <w:sz w:val="24"/>
        </w:rPr>
        <w:t>– Приказ Минэкономразвития России от 01.09.2014 № 540 (ред. от 06.10.2017) «Об утверждении классификатора видов разрешенного использования земельных участков» (Зарегистрировано в Минюсте России 08.09.2014 N 3399</w:t>
      </w:r>
      <w:r>
        <w:rPr>
          <w:sz w:val="24"/>
        </w:rPr>
        <w:t>5).</w:t>
      </w:r>
    </w:p>
    <w:p w:rsidR="00E85D42" w:rsidRDefault="008113B9">
      <w:pPr>
        <w:jc w:val="both"/>
      </w:pPr>
      <w:r>
        <w:rPr>
          <w:b/>
          <w:sz w:val="24"/>
        </w:rPr>
        <w:t>НП</w:t>
      </w:r>
      <w:r>
        <w:rPr>
          <w:sz w:val="24"/>
        </w:rPr>
        <w:t> – населенный пункт.</w:t>
      </w:r>
    </w:p>
    <w:p w:rsidR="00E85D42" w:rsidRDefault="008113B9">
      <w:pPr>
        <w:jc w:val="both"/>
      </w:pPr>
      <w:r>
        <w:rPr>
          <w:b/>
          <w:sz w:val="24"/>
        </w:rPr>
        <w:t>ГО</w:t>
      </w:r>
      <w:r>
        <w:rPr>
          <w:sz w:val="24"/>
        </w:rPr>
        <w:t> – городской округ.</w:t>
      </w:r>
    </w:p>
    <w:p w:rsidR="00E85D42" w:rsidRDefault="008113B9">
      <w:pPr>
        <w:jc w:val="both"/>
      </w:pPr>
      <w:r>
        <w:rPr>
          <w:b/>
          <w:sz w:val="24"/>
        </w:rPr>
        <w:t>ДКК</w:t>
      </w:r>
      <w:r>
        <w:rPr>
          <w:sz w:val="24"/>
        </w:rPr>
        <w:t> – дежурная кадастровая карта.</w:t>
      </w:r>
    </w:p>
    <w:p w:rsidR="00E85D42" w:rsidRDefault="008113B9">
      <w:pPr>
        <w:jc w:val="both"/>
      </w:pPr>
      <w:r>
        <w:rPr>
          <w:b/>
          <w:sz w:val="24"/>
        </w:rPr>
        <w:t>МО</w:t>
      </w:r>
      <w:r>
        <w:rPr>
          <w:sz w:val="24"/>
        </w:rPr>
        <w:t> – муниципальное образование.</w:t>
      </w:r>
    </w:p>
    <w:p w:rsidR="00E85D42" w:rsidRDefault="008113B9">
      <w:pPr>
        <w:jc w:val="both"/>
      </w:pPr>
      <w:r>
        <w:rPr>
          <w:b/>
          <w:sz w:val="24"/>
        </w:rPr>
        <w:t>МР</w:t>
      </w:r>
      <w:r>
        <w:rPr>
          <w:sz w:val="24"/>
        </w:rPr>
        <w:t> – муниципальный район.</w:t>
      </w:r>
    </w:p>
    <w:p w:rsidR="00E85D42" w:rsidRDefault="008113B9">
      <w:pPr>
        <w:jc w:val="both"/>
      </w:pPr>
      <w:r>
        <w:rPr>
          <w:b/>
          <w:sz w:val="24"/>
        </w:rPr>
        <w:t>ВВП</w:t>
      </w:r>
      <w:r>
        <w:rPr>
          <w:sz w:val="24"/>
        </w:rPr>
        <w:t> – внутренний валовый продукт.</w:t>
      </w:r>
    </w:p>
    <w:p w:rsidR="00E85D42" w:rsidRDefault="008113B9">
      <w:pPr>
        <w:jc w:val="both"/>
      </w:pPr>
      <w:r>
        <w:rPr>
          <w:b/>
          <w:sz w:val="24"/>
        </w:rPr>
        <w:t>ВРП</w:t>
      </w:r>
      <w:r>
        <w:rPr>
          <w:sz w:val="24"/>
        </w:rPr>
        <w:t> – валовый региональный продукт.</w:t>
      </w:r>
    </w:p>
    <w:p w:rsidR="00E85D42" w:rsidRDefault="008113B9">
      <w:pPr>
        <w:jc w:val="both"/>
      </w:pPr>
      <w:r>
        <w:rPr>
          <w:b/>
          <w:sz w:val="24"/>
        </w:rPr>
        <w:t xml:space="preserve">ЕОН </w:t>
      </w:r>
      <w:r>
        <w:rPr>
          <w:sz w:val="24"/>
        </w:rPr>
        <w:t>– единый объект недвижимости.</w:t>
      </w:r>
    </w:p>
    <w:p w:rsidR="00E85D42" w:rsidRDefault="008113B9">
      <w:pPr>
        <w:jc w:val="both"/>
      </w:pPr>
      <w:r>
        <w:rPr>
          <w:b/>
          <w:sz w:val="24"/>
        </w:rPr>
        <w:t>ОН</w:t>
      </w:r>
      <w:r>
        <w:rPr>
          <w:sz w:val="24"/>
        </w:rPr>
        <w:t xml:space="preserve"> - объект</w:t>
      </w:r>
      <w:r>
        <w:rPr>
          <w:sz w:val="24"/>
        </w:rPr>
        <w:t xml:space="preserve"> недвижимости.</w:t>
      </w:r>
    </w:p>
    <w:p w:rsidR="00E85D42" w:rsidRDefault="008113B9">
      <w:pPr>
        <w:jc w:val="both"/>
      </w:pPr>
      <w:r>
        <w:rPr>
          <w:b/>
          <w:sz w:val="24"/>
        </w:rPr>
        <w:t>ОКС</w:t>
      </w:r>
      <w:r>
        <w:rPr>
          <w:sz w:val="24"/>
        </w:rPr>
        <w:t> – объект капитального строительства.</w:t>
      </w:r>
    </w:p>
    <w:p w:rsidR="00E85D42" w:rsidRDefault="008113B9">
      <w:pPr>
        <w:jc w:val="both"/>
      </w:pPr>
      <w:r>
        <w:rPr>
          <w:b/>
          <w:sz w:val="24"/>
        </w:rPr>
        <w:t>ОНС</w:t>
      </w:r>
      <w:r>
        <w:rPr>
          <w:sz w:val="24"/>
        </w:rPr>
        <w:t> – объект незавершенного строительства.</w:t>
      </w:r>
    </w:p>
    <w:p w:rsidR="00E85D42" w:rsidRDefault="008113B9">
      <w:pPr>
        <w:jc w:val="both"/>
      </w:pPr>
      <w:r>
        <w:rPr>
          <w:b/>
          <w:sz w:val="24"/>
        </w:rPr>
        <w:t>ЦФ</w:t>
      </w:r>
      <w:r>
        <w:rPr>
          <w:sz w:val="24"/>
        </w:rPr>
        <w:t> – ценообразующий фактор.</w:t>
      </w:r>
    </w:p>
    <w:p w:rsidR="00E85D42" w:rsidRDefault="008113B9">
      <w:pPr>
        <w:jc w:val="both"/>
      </w:pPr>
      <w:r>
        <w:rPr>
          <w:b/>
          <w:sz w:val="24"/>
        </w:rPr>
        <w:t>ИЖС</w:t>
      </w:r>
      <w:r>
        <w:rPr>
          <w:sz w:val="24"/>
        </w:rPr>
        <w:t xml:space="preserve"> - индивидуальное жилищное строительство.</w:t>
      </w:r>
    </w:p>
    <w:p w:rsidR="00E85D42" w:rsidRDefault="008113B9">
      <w:pPr>
        <w:jc w:val="both"/>
      </w:pPr>
      <w:r>
        <w:rPr>
          <w:b/>
          <w:sz w:val="24"/>
        </w:rPr>
        <w:t>ЛПХ</w:t>
      </w:r>
      <w:r>
        <w:rPr>
          <w:sz w:val="24"/>
        </w:rPr>
        <w:t xml:space="preserve"> - личное подсобное хозяйство.</w:t>
      </w:r>
    </w:p>
    <w:p w:rsidR="00E85D42" w:rsidRDefault="008113B9">
      <w:pPr>
        <w:jc w:val="both"/>
      </w:pPr>
      <w:r>
        <w:rPr>
          <w:b/>
          <w:sz w:val="24"/>
        </w:rPr>
        <w:t>НДС</w:t>
      </w:r>
      <w:r>
        <w:rPr>
          <w:sz w:val="24"/>
        </w:rPr>
        <w:t xml:space="preserve"> - налог на добавленную стоимость.</w:t>
      </w:r>
    </w:p>
    <w:p w:rsidR="00E85D42" w:rsidRDefault="008113B9">
      <w:pPr>
        <w:jc w:val="both"/>
      </w:pPr>
      <w:r>
        <w:rPr>
          <w:b/>
          <w:sz w:val="24"/>
        </w:rPr>
        <w:t>ЗП</w:t>
      </w:r>
      <w:r>
        <w:rPr>
          <w:sz w:val="24"/>
        </w:rPr>
        <w:t xml:space="preserve"> – </w:t>
      </w:r>
      <w:r>
        <w:rPr>
          <w:sz w:val="24"/>
        </w:rPr>
        <w:t>затратный подход.</w:t>
      </w:r>
    </w:p>
    <w:p w:rsidR="00E85D42" w:rsidRDefault="008113B9">
      <w:pPr>
        <w:jc w:val="both"/>
      </w:pPr>
      <w:r>
        <w:rPr>
          <w:b/>
          <w:sz w:val="24"/>
        </w:rPr>
        <w:t xml:space="preserve">СП </w:t>
      </w:r>
      <w:r>
        <w:rPr>
          <w:sz w:val="24"/>
        </w:rPr>
        <w:t>– сравнительный подход.</w:t>
      </w:r>
    </w:p>
    <w:p w:rsidR="00E85D42" w:rsidRDefault="008113B9">
      <w:pPr>
        <w:jc w:val="both"/>
      </w:pPr>
      <w:r>
        <w:rPr>
          <w:b/>
          <w:sz w:val="24"/>
        </w:rPr>
        <w:t>ДП</w:t>
      </w:r>
      <w:r>
        <w:rPr>
          <w:sz w:val="24"/>
        </w:rPr>
        <w:t xml:space="preserve"> – доходный подход.</w:t>
      </w:r>
    </w:p>
    <w:p w:rsidR="00E85D42" w:rsidRDefault="008113B9">
      <w:pPr>
        <w:jc w:val="both"/>
        <w:rPr>
          <w:sz w:val="24"/>
        </w:rPr>
      </w:pPr>
      <w:r>
        <w:rPr>
          <w:sz w:val="24"/>
        </w:rPr>
        <w:t>Иные сокращения, встречающиеся по тексту настоящего Отчета, либо являются широко употребляемыми и понятными читателю и пользователю отчета, либо расшифрованы в самом тексте Отчета.</w:t>
      </w:r>
    </w:p>
    <w:p w:rsidR="00E85D42" w:rsidRDefault="00E85D42">
      <w:pPr>
        <w:pageBreakBefore/>
        <w:spacing w:after="200" w:line="276" w:lineRule="auto"/>
        <w:rPr>
          <w:sz w:val="24"/>
        </w:rPr>
      </w:pPr>
    </w:p>
    <w:p w:rsidR="00E85D42" w:rsidRDefault="008113B9">
      <w:pPr>
        <w:pStyle w:val="ab"/>
        <w:keepNext/>
        <w:numPr>
          <w:ilvl w:val="0"/>
          <w:numId w:val="17"/>
        </w:numPr>
        <w:jc w:val="center"/>
        <w:rPr>
          <w:b/>
          <w:sz w:val="24"/>
        </w:rPr>
      </w:pPr>
      <w:bookmarkStart w:id="73" w:name="_Toc11934878"/>
      <w:r>
        <w:rPr>
          <w:b/>
          <w:sz w:val="24"/>
        </w:rPr>
        <w:t>ВВОДНАЯ</w:t>
      </w:r>
      <w:r>
        <w:rPr>
          <w:b/>
          <w:sz w:val="24"/>
        </w:rPr>
        <w:t xml:space="preserve"> ГЛАВА</w:t>
      </w:r>
      <w:bookmarkEnd w:id="73"/>
    </w:p>
    <w:p w:rsidR="00E85D42" w:rsidRDefault="008113B9">
      <w:pPr>
        <w:pStyle w:val="ab"/>
        <w:keepNext/>
        <w:numPr>
          <w:ilvl w:val="1"/>
          <w:numId w:val="17"/>
        </w:numPr>
        <w:ind w:left="0" w:firstLine="0"/>
        <w:jc w:val="center"/>
        <w:rPr>
          <w:b/>
          <w:color w:val="000000"/>
          <w:sz w:val="24"/>
        </w:rPr>
      </w:pPr>
      <w:bookmarkStart w:id="74" w:name="_Toc11934879"/>
      <w:bookmarkStart w:id="75" w:name="_Ref511322377"/>
      <w:r>
        <w:rPr>
          <w:b/>
          <w:color w:val="000000"/>
          <w:sz w:val="24"/>
        </w:rPr>
        <w:t>Общая информация</w:t>
      </w:r>
      <w:bookmarkEnd w:id="74"/>
    </w:p>
    <w:bookmarkEnd w:id="75"/>
    <w:p w:rsidR="00E85D42" w:rsidRDefault="008113B9">
      <w:pPr>
        <w:pStyle w:val="ad"/>
        <w:keepNext/>
        <w:spacing w:before="0"/>
        <w:jc w:val="right"/>
      </w:pPr>
      <w:r>
        <w:rPr>
          <w:b w:val="0"/>
          <w:i w:val="0"/>
          <w:sz w:val="24"/>
          <w:szCs w:val="24"/>
        </w:rPr>
        <w:t>Таблица 2.1.1</w:t>
      </w:r>
    </w:p>
    <w:p w:rsidR="00E85D42" w:rsidRDefault="008113B9">
      <w:pPr>
        <w:jc w:val="center"/>
        <w:rPr>
          <w:sz w:val="24"/>
        </w:rPr>
      </w:pPr>
      <w:r>
        <w:rPr>
          <w:sz w:val="24"/>
        </w:rPr>
        <w:t>Общая информация</w:t>
      </w:r>
    </w:p>
    <w:tbl>
      <w:tblPr>
        <w:tblW w:w="5000" w:type="pct"/>
        <w:tblCellMar>
          <w:left w:w="10" w:type="dxa"/>
          <w:right w:w="10" w:type="dxa"/>
        </w:tblCellMar>
        <w:tblLook w:val="04A0" w:firstRow="1" w:lastRow="0" w:firstColumn="1" w:lastColumn="0" w:noHBand="0" w:noVBand="1"/>
      </w:tblPr>
      <w:tblGrid>
        <w:gridCol w:w="4130"/>
        <w:gridCol w:w="5214"/>
      </w:tblGrid>
      <w:tr w:rsidR="00E85D42">
        <w:tblPrEx>
          <w:tblCellMar>
            <w:top w:w="0" w:type="dxa"/>
            <w:bottom w:w="0" w:type="dxa"/>
          </w:tblCellMar>
        </w:tblPrEx>
        <w:trPr>
          <w:trHeight w:val="444"/>
        </w:trPr>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 w:val="24"/>
              </w:rPr>
            </w:pPr>
            <w:r>
              <w:rPr>
                <w:b/>
                <w:sz w:val="24"/>
              </w:rPr>
              <w:t>Наименование характеристики</w:t>
            </w:r>
          </w:p>
        </w:tc>
        <w:tc>
          <w:tcPr>
            <w:tcW w:w="52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 w:val="24"/>
              </w:rPr>
            </w:pPr>
            <w:r>
              <w:rPr>
                <w:b/>
                <w:sz w:val="24"/>
              </w:rPr>
              <w:t>Значение</w:t>
            </w:r>
          </w:p>
        </w:tc>
      </w:tr>
      <w:tr w:rsidR="00E85D42">
        <w:tblPrEx>
          <w:tblCellMar>
            <w:top w:w="0" w:type="dxa"/>
            <w:bottom w:w="0" w:type="dxa"/>
          </w:tblCellMar>
        </w:tblPrEx>
        <w:trPr>
          <w:trHeight w:val="1020"/>
        </w:trPr>
        <w:tc>
          <w:tcPr>
            <w:tcW w:w="41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Наименование субъекта Российской Федерации, на территории которого проводилась государственная кадастровая оценка</w:t>
            </w:r>
          </w:p>
        </w:tc>
        <w:tc>
          <w:tcPr>
            <w:tcW w:w="52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Республика Башкортостан</w:t>
            </w:r>
          </w:p>
        </w:tc>
      </w:tr>
      <w:tr w:rsidR="00E85D42">
        <w:tblPrEx>
          <w:tblCellMar>
            <w:top w:w="0" w:type="dxa"/>
            <w:bottom w:w="0" w:type="dxa"/>
          </w:tblCellMar>
        </w:tblPrEx>
        <w:trPr>
          <w:trHeight w:val="772"/>
        </w:trPr>
        <w:tc>
          <w:tcPr>
            <w:tcW w:w="41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 xml:space="preserve">Реквизиты решения о </w:t>
            </w:r>
            <w:r>
              <w:rPr>
                <w:sz w:val="24"/>
              </w:rPr>
              <w:t>проведении государственной кадастровой оценки</w:t>
            </w:r>
          </w:p>
        </w:tc>
        <w:tc>
          <w:tcPr>
            <w:tcW w:w="521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bookmarkStart w:id="76" w:name="OLE_LINK1"/>
            <w:bookmarkStart w:id="77" w:name="OLE_LINK2"/>
            <w:r>
              <w:rPr>
                <w:sz w:val="24"/>
              </w:rPr>
              <w:t>Приказ Министерства земельных и имущественных отношений Республики Башкортостан «О проведении государственной кадастровой оценки в 2019 году»</w:t>
            </w:r>
            <w:bookmarkEnd w:id="76"/>
            <w:bookmarkEnd w:id="77"/>
          </w:p>
          <w:p w:rsidR="00E85D42" w:rsidRDefault="008113B9">
            <w:pPr>
              <w:rPr>
                <w:sz w:val="24"/>
              </w:rPr>
            </w:pPr>
            <w:r>
              <w:rPr>
                <w:sz w:val="24"/>
              </w:rPr>
              <w:t>№ 284 от 22 марта 2018 г.</w:t>
            </w:r>
          </w:p>
        </w:tc>
      </w:tr>
      <w:tr w:rsidR="00E85D42">
        <w:tblPrEx>
          <w:tblCellMar>
            <w:top w:w="0" w:type="dxa"/>
            <w:bottom w:w="0" w:type="dxa"/>
          </w:tblCellMar>
        </w:tblPrEx>
        <w:trPr>
          <w:trHeight w:val="852"/>
        </w:trPr>
        <w:tc>
          <w:tcPr>
            <w:tcW w:w="41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 xml:space="preserve">Вид объектов недвижимости, в отношении </w:t>
            </w:r>
            <w:r>
              <w:rPr>
                <w:sz w:val="24"/>
              </w:rPr>
              <w:t>которых принято решение о проведении государственной кадастровой оценки</w:t>
            </w:r>
          </w:p>
        </w:tc>
        <w:tc>
          <w:tcPr>
            <w:tcW w:w="52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Земельные участки</w:t>
            </w:r>
          </w:p>
        </w:tc>
      </w:tr>
      <w:tr w:rsidR="00E85D42">
        <w:tblPrEx>
          <w:tblCellMar>
            <w:top w:w="0" w:type="dxa"/>
            <w:bottom w:w="0" w:type="dxa"/>
          </w:tblCellMar>
        </w:tblPrEx>
        <w:trPr>
          <w:trHeight w:val="300"/>
        </w:trPr>
        <w:tc>
          <w:tcPr>
            <w:tcW w:w="413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Категории земель и количество объектов оценки</w:t>
            </w:r>
          </w:p>
        </w:tc>
        <w:tc>
          <w:tcPr>
            <w:tcW w:w="52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1 541 417, в том числе</w:t>
            </w:r>
          </w:p>
        </w:tc>
      </w:tr>
      <w:tr w:rsidR="00E85D42">
        <w:tblPrEx>
          <w:tblCellMar>
            <w:top w:w="0" w:type="dxa"/>
            <w:bottom w:w="0" w:type="dxa"/>
          </w:tblCellMar>
        </w:tblPrEx>
        <w:trPr>
          <w:trHeight w:val="300"/>
        </w:trPr>
        <w:tc>
          <w:tcPr>
            <w:tcW w:w="413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rPr>
            </w:pPr>
          </w:p>
        </w:tc>
        <w:tc>
          <w:tcPr>
            <w:tcW w:w="52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Земли населенных пунктов – 1 541 256</w:t>
            </w:r>
          </w:p>
        </w:tc>
      </w:tr>
      <w:tr w:rsidR="00E85D42">
        <w:tblPrEx>
          <w:tblCellMar>
            <w:top w:w="0" w:type="dxa"/>
            <w:bottom w:w="0" w:type="dxa"/>
          </w:tblCellMar>
        </w:tblPrEx>
        <w:trPr>
          <w:trHeight w:val="300"/>
        </w:trPr>
        <w:tc>
          <w:tcPr>
            <w:tcW w:w="413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rPr>
            </w:pPr>
          </w:p>
        </w:tc>
        <w:tc>
          <w:tcPr>
            <w:tcW w:w="52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Земли водного фонда - 161</w:t>
            </w:r>
          </w:p>
        </w:tc>
      </w:tr>
      <w:tr w:rsidR="00E85D42">
        <w:tblPrEx>
          <w:tblCellMar>
            <w:top w:w="0" w:type="dxa"/>
            <w:bottom w:w="0" w:type="dxa"/>
          </w:tblCellMar>
        </w:tblPrEx>
        <w:trPr>
          <w:trHeight w:val="1020"/>
        </w:trPr>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Реквизиты Отчета:</w:t>
            </w:r>
          </w:p>
        </w:tc>
        <w:tc>
          <w:tcPr>
            <w:tcW w:w="521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24"/>
              </w:rPr>
            </w:pPr>
            <w:r>
              <w:rPr>
                <w:color w:val="000000"/>
                <w:sz w:val="24"/>
              </w:rPr>
              <w:t xml:space="preserve">Проект </w:t>
            </w:r>
            <w:r>
              <w:rPr>
                <w:color w:val="000000"/>
                <w:sz w:val="24"/>
              </w:rPr>
              <w:t>отчета об итогах государственной кадастровой оценки № 02-2019-1 от 31 мая 2019 г.</w:t>
            </w:r>
          </w:p>
        </w:tc>
      </w:tr>
      <w:tr w:rsidR="00E85D42">
        <w:tblPrEx>
          <w:tblCellMar>
            <w:top w:w="0" w:type="dxa"/>
            <w:bottom w:w="0" w:type="dxa"/>
          </w:tblCellMar>
        </w:tblPrEx>
        <w:trPr>
          <w:trHeight w:val="765"/>
        </w:trPr>
        <w:tc>
          <w:tcPr>
            <w:tcW w:w="41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Дата, по состоянию на которую определена кадастровая стоимость объектов недвижимости</w:t>
            </w:r>
          </w:p>
        </w:tc>
        <w:tc>
          <w:tcPr>
            <w:tcW w:w="52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rPr>
            </w:pPr>
            <w:r>
              <w:rPr>
                <w:sz w:val="24"/>
              </w:rPr>
              <w:t>01 января 2019г.</w:t>
            </w:r>
          </w:p>
        </w:tc>
      </w:tr>
    </w:tbl>
    <w:p w:rsidR="00E85D42" w:rsidRDefault="00E85D42">
      <w:pPr>
        <w:rPr>
          <w:sz w:val="24"/>
        </w:rPr>
      </w:pPr>
      <w:bookmarkStart w:id="78" w:name="_Toc457479955"/>
      <w:bookmarkStart w:id="79" w:name="_Toc511658806"/>
    </w:p>
    <w:p w:rsidR="00E85D42" w:rsidRDefault="008113B9">
      <w:pPr>
        <w:pStyle w:val="ab"/>
        <w:keepNext/>
        <w:numPr>
          <w:ilvl w:val="1"/>
          <w:numId w:val="17"/>
        </w:numPr>
        <w:ind w:left="0" w:firstLine="0"/>
        <w:jc w:val="center"/>
        <w:rPr>
          <w:b/>
          <w:sz w:val="24"/>
        </w:rPr>
      </w:pPr>
      <w:bookmarkStart w:id="80" w:name="_Toc11934880"/>
      <w:r>
        <w:rPr>
          <w:b/>
          <w:sz w:val="24"/>
        </w:rPr>
        <w:t>Нормативные документы</w:t>
      </w:r>
      <w:bookmarkEnd w:id="78"/>
      <w:bookmarkEnd w:id="79"/>
      <w:bookmarkEnd w:id="80"/>
    </w:p>
    <w:p w:rsidR="00E85D42" w:rsidRDefault="008113B9">
      <w:pPr>
        <w:jc w:val="both"/>
        <w:rPr>
          <w:sz w:val="24"/>
        </w:rPr>
      </w:pPr>
      <w:r>
        <w:rPr>
          <w:sz w:val="24"/>
        </w:rPr>
        <w:t>Федеральный закон от 3 июля 2016 г. № 237-ФЗ «О</w:t>
      </w:r>
      <w:r>
        <w:rPr>
          <w:sz w:val="24"/>
        </w:rPr>
        <w:t xml:space="preserve"> государственной кадастровой оценке» в редакции от 29.07.2017г.</w:t>
      </w:r>
    </w:p>
    <w:p w:rsidR="00E85D42" w:rsidRDefault="008113B9">
      <w:pPr>
        <w:jc w:val="both"/>
        <w:rPr>
          <w:sz w:val="24"/>
        </w:rPr>
      </w:pPr>
      <w:r>
        <w:rPr>
          <w:sz w:val="24"/>
        </w:rPr>
        <w:t xml:space="preserve">Приказ Минэкономразвития России от 01.09.2014 № 540 (ред. от 06.10.2017) «Об утверждении классификатора видов разрешенного использования земельных участков» (Зарегистрировано в Минюсте России </w:t>
      </w:r>
      <w:r>
        <w:rPr>
          <w:sz w:val="24"/>
        </w:rPr>
        <w:t>08.09.2014 N 33995).</w:t>
      </w:r>
    </w:p>
    <w:p w:rsidR="00E85D42" w:rsidRDefault="008113B9">
      <w:pPr>
        <w:jc w:val="both"/>
        <w:rPr>
          <w:sz w:val="24"/>
        </w:rPr>
      </w:pPr>
      <w:r>
        <w:rPr>
          <w:sz w:val="24"/>
        </w:rPr>
        <w:t>Приказ Минэкономразвития России от 12.05.2017 № 226 (ред. от 09.08.2018) «Об утверждении методических указаний о государственной кадастровой оценке» (Зарегистрировано в Минюсте России 29.05.2017 № 46860).</w:t>
      </w:r>
    </w:p>
    <w:p w:rsidR="00E85D42" w:rsidRDefault="008113B9">
      <w:pPr>
        <w:jc w:val="both"/>
        <w:rPr>
          <w:sz w:val="24"/>
        </w:rPr>
      </w:pPr>
      <w:r>
        <w:rPr>
          <w:sz w:val="24"/>
        </w:rPr>
        <w:t>Приказ Минэкономразвития Росси</w:t>
      </w:r>
      <w:r>
        <w:rPr>
          <w:sz w:val="24"/>
        </w:rPr>
        <w:t>и от 09.06.2017 № 284 «Об утверждении Требований к отчету об итогах государственной кадастровой оценки» (зарегистрировано в Минюсте России 21.08.2017 № 47879).</w:t>
      </w:r>
    </w:p>
    <w:p w:rsidR="00E85D42" w:rsidRDefault="008113B9">
      <w:pPr>
        <w:jc w:val="both"/>
        <w:rPr>
          <w:sz w:val="24"/>
        </w:rPr>
      </w:pPr>
      <w:r>
        <w:rPr>
          <w:sz w:val="24"/>
        </w:rPr>
        <w:t>Приказ Минэкономразвития России от 30.06.2017 № 317 «Об утверждении Порядка рассмотрения обращен</w:t>
      </w:r>
      <w:r>
        <w:rPr>
          <w:sz w:val="24"/>
        </w:rPr>
        <w:t xml:space="preserve">ий о предоставлении разъяснений, связанных с определением кадастровой стоимости, в том числе формы предоставления таких разъяснений» (Зарегистрировано в Минюсте России 22.09.2017 № 48280). </w:t>
      </w:r>
    </w:p>
    <w:p w:rsidR="00E85D42" w:rsidRDefault="008113B9">
      <w:pPr>
        <w:jc w:val="both"/>
        <w:rPr>
          <w:sz w:val="24"/>
        </w:rPr>
      </w:pPr>
      <w:r>
        <w:rPr>
          <w:sz w:val="24"/>
        </w:rPr>
        <w:t>Приказ Минэкономразвития России от 20.02.2017 № 74 «Об утверждении</w:t>
      </w:r>
      <w:r>
        <w:rPr>
          <w:sz w:val="24"/>
        </w:rPr>
        <w:t xml:space="preserve">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w:t>
      </w:r>
      <w:r>
        <w:rPr>
          <w:sz w:val="24"/>
        </w:rPr>
        <w:t>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(зарегистрировано в Минюсте России 21.03.2017 № 46049).</w:t>
      </w:r>
    </w:p>
    <w:p w:rsidR="00E85D42" w:rsidRDefault="008113B9">
      <w:pPr>
        <w:jc w:val="both"/>
        <w:rPr>
          <w:sz w:val="24"/>
        </w:rPr>
      </w:pPr>
      <w:r>
        <w:rPr>
          <w:sz w:val="24"/>
        </w:rPr>
        <w:t>Постановление Правительства РФ о</w:t>
      </w:r>
      <w:r>
        <w:rPr>
          <w:sz w:val="24"/>
        </w:rPr>
        <w:t>т 04.05.2017 № 523 «Об утверждении Положения об осуществлении федерального государственного надзора за проведением государственной кадастровой оценки».</w:t>
      </w:r>
    </w:p>
    <w:p w:rsidR="00E85D42" w:rsidRDefault="008113B9">
      <w:pPr>
        <w:jc w:val="both"/>
        <w:rPr>
          <w:sz w:val="24"/>
        </w:rPr>
      </w:pPr>
      <w:r>
        <w:rPr>
          <w:sz w:val="24"/>
        </w:rPr>
        <w:t>Приказ Минэкономразвития России от 16.12.2015 № 943 «Об установлении порядка ведения Единого государстве</w:t>
      </w:r>
      <w:r>
        <w:rPr>
          <w:sz w:val="24"/>
        </w:rPr>
        <w:t>нного реестра недвижимости, формы специальной регистрационной надписи на документе, выражающем содержание сделки, состава сведений, включаемых в специальную регистрационную надпись на документе, выражающем содержание сделки, и требований к ее заполнению, а</w:t>
      </w:r>
      <w:r>
        <w:rPr>
          <w:sz w:val="24"/>
        </w:rPr>
        <w:t xml:space="preserve"> также требований к формату специальной регистрационной надписи на документе, выражающем содержание сделки, в электронной форме, порядка изменения в Едином государственном реестре недвижимости сведений о местоположении границ земельного участка при исправл</w:t>
      </w:r>
      <w:r>
        <w:rPr>
          <w:sz w:val="24"/>
        </w:rPr>
        <w:t>ении реестровой ошибки» в редакции от 11.12.2017.</w:t>
      </w:r>
    </w:p>
    <w:p w:rsidR="00E85D42" w:rsidRDefault="008113B9">
      <w:pPr>
        <w:jc w:val="both"/>
        <w:rPr>
          <w:sz w:val="24"/>
        </w:rPr>
      </w:pPr>
      <w:r>
        <w:rPr>
          <w:sz w:val="24"/>
        </w:rPr>
        <w:t>Приказ Министерства земельных и имущественных отношений Республики Башкортостан «О проведении в 2018 году государственной кадастровой оценки» № 906 от 25 июля 2017 г.</w:t>
      </w:r>
    </w:p>
    <w:p w:rsidR="00E85D42" w:rsidRDefault="008113B9">
      <w:pPr>
        <w:jc w:val="both"/>
        <w:rPr>
          <w:sz w:val="24"/>
        </w:rPr>
      </w:pPr>
      <w:r>
        <w:rPr>
          <w:sz w:val="24"/>
        </w:rPr>
        <w:t>Гражданский кодекс Российской Федерации</w:t>
      </w:r>
      <w:r>
        <w:rPr>
          <w:sz w:val="24"/>
        </w:rPr>
        <w:t xml:space="preserve"> (часть первая) от 30.11.1994 № 51-ФЗ в редакции от 29.12.2017г.</w:t>
      </w:r>
    </w:p>
    <w:p w:rsidR="00E85D42" w:rsidRDefault="008113B9">
      <w:pPr>
        <w:jc w:val="both"/>
        <w:rPr>
          <w:sz w:val="24"/>
        </w:rPr>
      </w:pPr>
      <w:r>
        <w:rPr>
          <w:sz w:val="24"/>
        </w:rPr>
        <w:t>Гражданский кодекс Российской Федерации (часть вторая) от 26.01.1996 № 14-ФЗ в редакции от 05.12.2017г.</w:t>
      </w:r>
    </w:p>
    <w:p w:rsidR="00E85D42" w:rsidRDefault="008113B9">
      <w:pPr>
        <w:jc w:val="both"/>
        <w:rPr>
          <w:sz w:val="24"/>
        </w:rPr>
      </w:pPr>
      <w:r>
        <w:rPr>
          <w:sz w:val="24"/>
        </w:rPr>
        <w:t>Земельный кодекс Российской Федерации от 25.10.2001 № 136-ФЗ в редакции от 25.12.2018.</w:t>
      </w:r>
    </w:p>
    <w:p w:rsidR="00E85D42" w:rsidRDefault="008113B9">
      <w:pPr>
        <w:jc w:val="both"/>
        <w:rPr>
          <w:sz w:val="24"/>
        </w:rPr>
      </w:pPr>
      <w:r>
        <w:rPr>
          <w:sz w:val="24"/>
        </w:rPr>
        <w:t>Налоговый кодекс Российской Федерации (часть первая) от 31.07.1998 № 146-ФЗ в редакции от 19.02.2018г.</w:t>
      </w:r>
    </w:p>
    <w:p w:rsidR="00E85D42" w:rsidRDefault="008113B9">
      <w:pPr>
        <w:jc w:val="both"/>
        <w:rPr>
          <w:sz w:val="24"/>
        </w:rPr>
      </w:pPr>
      <w:r>
        <w:rPr>
          <w:sz w:val="24"/>
        </w:rPr>
        <w:t>Налоговый кодекс Российской Федерации (часть вторая) от 05.08.2000 № 117-ФЗ в редакции от 19.02.2018г.</w:t>
      </w:r>
    </w:p>
    <w:p w:rsidR="00E85D42" w:rsidRDefault="008113B9">
      <w:pPr>
        <w:jc w:val="both"/>
        <w:rPr>
          <w:sz w:val="24"/>
        </w:rPr>
      </w:pPr>
      <w:r>
        <w:rPr>
          <w:sz w:val="24"/>
        </w:rPr>
        <w:t>Градостроительный кодекс Российской Федерации от 2</w:t>
      </w:r>
      <w:r>
        <w:rPr>
          <w:sz w:val="24"/>
        </w:rPr>
        <w:t>9.12.2004 № 190-ФЗ в редакции от 31.12.2017г.</w:t>
      </w:r>
    </w:p>
    <w:p w:rsidR="00E85D42" w:rsidRDefault="008113B9">
      <w:pPr>
        <w:jc w:val="both"/>
        <w:rPr>
          <w:sz w:val="24"/>
        </w:rPr>
      </w:pPr>
      <w:r>
        <w:rPr>
          <w:sz w:val="24"/>
        </w:rPr>
        <w:t>Федеральный закон от 27.07.2006 № 149-ФЗ «Об информации, информационных технологиях и о защите информации» в редакции от 25.11.2017.</w:t>
      </w:r>
    </w:p>
    <w:p w:rsidR="00E85D42" w:rsidRDefault="008113B9">
      <w:pPr>
        <w:jc w:val="both"/>
        <w:rPr>
          <w:sz w:val="24"/>
        </w:rPr>
      </w:pPr>
      <w:r>
        <w:rPr>
          <w:sz w:val="24"/>
        </w:rPr>
        <w:t>Постановление Правительства РБ от 14.09.2017 N 424 "Об утверждении государств</w:t>
      </w:r>
      <w:r>
        <w:rPr>
          <w:sz w:val="24"/>
        </w:rPr>
        <w:t>енной программы Развитие внутреннего и въездного туризма в Республике Башкортостан".</w:t>
      </w:r>
    </w:p>
    <w:p w:rsidR="00E85D42" w:rsidRDefault="008113B9">
      <w:pPr>
        <w:jc w:val="both"/>
        <w:rPr>
          <w:sz w:val="24"/>
        </w:rPr>
      </w:pPr>
      <w:r>
        <w:rPr>
          <w:sz w:val="24"/>
        </w:rPr>
        <w:t>СНиП 2.07.01-89. Градостроительство. Планировка и застройка городских и сельских поселений (утв. Постановлением Госстроя СССР от 16.05.1989 № 78) в редакции от 25.08.1993.</w:t>
      </w:r>
      <w:r>
        <w:rPr>
          <w:sz w:val="24"/>
        </w:rPr>
        <w:t xml:space="preserve"> </w:t>
      </w:r>
    </w:p>
    <w:p w:rsidR="00E85D42" w:rsidRDefault="008113B9">
      <w:pPr>
        <w:jc w:val="both"/>
        <w:rPr>
          <w:sz w:val="24"/>
        </w:rPr>
      </w:pPr>
      <w:r>
        <w:rPr>
          <w:sz w:val="24"/>
        </w:rPr>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E85D42" w:rsidRDefault="008113B9">
      <w:pPr>
        <w:jc w:val="both"/>
        <w:rPr>
          <w:sz w:val="24"/>
        </w:rPr>
      </w:pPr>
      <w:bookmarkStart w:id="81" w:name="_Ref511596098"/>
      <w:r>
        <w:rPr>
          <w:sz w:val="24"/>
        </w:rPr>
        <w:t>ГОСТ Р 51185-2014 Туристические услуги. Средства разме</w:t>
      </w:r>
      <w:r>
        <w:rPr>
          <w:sz w:val="24"/>
        </w:rPr>
        <w:t>щения. Общие требования. (Дата введения 01.01.2016)</w:t>
      </w:r>
      <w:bookmarkEnd w:id="81"/>
    </w:p>
    <w:p w:rsidR="00E85D42" w:rsidRDefault="008113B9">
      <w:pPr>
        <w:jc w:val="both"/>
        <w:rPr>
          <w:sz w:val="24"/>
        </w:rPr>
      </w:pPr>
      <w:bookmarkStart w:id="82" w:name="_Ref511637868"/>
      <w:r>
        <w:rPr>
          <w:sz w:val="24"/>
        </w:rPr>
        <w:t>Федеральный закон от 13.07.2015 № 218-ФЗ (ред. от 28.02.2018) «О государственной регистрации недвижимости»</w:t>
      </w:r>
      <w:bookmarkEnd w:id="82"/>
    </w:p>
    <w:p w:rsidR="00E85D42" w:rsidRDefault="008113B9">
      <w:pPr>
        <w:jc w:val="both"/>
        <w:rPr>
          <w:sz w:val="24"/>
        </w:rPr>
      </w:pPr>
      <w:r>
        <w:rPr>
          <w:sz w:val="24"/>
        </w:rPr>
        <w:t>СНиП 2.07.01- 89 Минимальные расстояния до автомобильных дорог и улиц населенных пунктов определя</w:t>
      </w:r>
      <w:r>
        <w:rPr>
          <w:sz w:val="24"/>
        </w:rPr>
        <w:t>ются в зависимости от их категории</w:t>
      </w:r>
    </w:p>
    <w:p w:rsidR="00E85D42" w:rsidRDefault="008113B9">
      <w:pPr>
        <w:jc w:val="both"/>
        <w:rPr>
          <w:sz w:val="24"/>
        </w:rPr>
      </w:pPr>
      <w:r>
        <w:rPr>
          <w:sz w:val="24"/>
        </w:rPr>
        <w:t>Результаты ГКОЗ сельскохозяйственного назначения на территории Республики Башкортостан по состоянию на 1 января 2016 года, утвержденные постановлением Правительства РБ от 27 декабря 2016 г. № 552.</w:t>
      </w:r>
    </w:p>
    <w:p w:rsidR="00E85D42" w:rsidRDefault="00E85D42">
      <w:pPr>
        <w:jc w:val="both"/>
        <w:rPr>
          <w:sz w:val="24"/>
        </w:rPr>
      </w:pPr>
    </w:p>
    <w:p w:rsidR="00E85D42" w:rsidRDefault="008113B9">
      <w:pPr>
        <w:pStyle w:val="ab"/>
        <w:keepNext/>
        <w:numPr>
          <w:ilvl w:val="1"/>
          <w:numId w:val="17"/>
        </w:numPr>
        <w:ind w:left="0" w:firstLine="0"/>
        <w:jc w:val="center"/>
        <w:rPr>
          <w:b/>
          <w:sz w:val="24"/>
        </w:rPr>
      </w:pPr>
      <w:bookmarkStart w:id="83" w:name="_Toc511658807"/>
      <w:bookmarkStart w:id="84" w:name="_Toc11934881"/>
      <w:r>
        <w:rPr>
          <w:b/>
          <w:sz w:val="24"/>
        </w:rPr>
        <w:t>Методическая литература</w:t>
      </w:r>
      <w:bookmarkEnd w:id="83"/>
      <w:bookmarkEnd w:id="84"/>
    </w:p>
    <w:p w:rsidR="00E85D42" w:rsidRDefault="008113B9">
      <w:pPr>
        <w:jc w:val="both"/>
        <w:rPr>
          <w:sz w:val="24"/>
        </w:rPr>
      </w:pPr>
      <w:r>
        <w:rPr>
          <w:sz w:val="24"/>
        </w:rPr>
        <w:t>Кадастровый учет и кадастровая оценка земель: Учебное пособие для СПО / Н.В. Васильева. – М.: Издательство Юрайт, 2017. – 179 с. – Серия: Профессиональное образование.</w:t>
      </w:r>
    </w:p>
    <w:p w:rsidR="00E85D42" w:rsidRDefault="008113B9">
      <w:pPr>
        <w:jc w:val="both"/>
      </w:pPr>
      <w:r>
        <w:rPr>
          <w:sz w:val="24"/>
        </w:rPr>
        <w:t xml:space="preserve">Справочник оценщика недвижимости – 2018. Земельные участки. Часть </w:t>
      </w:r>
      <w:r>
        <w:rPr>
          <w:sz w:val="24"/>
          <w:lang w:val="en-US"/>
        </w:rPr>
        <w:t>I</w:t>
      </w:r>
      <w:r>
        <w:rPr>
          <w:sz w:val="24"/>
        </w:rPr>
        <w:t xml:space="preserve"> / Л.А. Лейфер, Т.В.</w:t>
      </w:r>
      <w:r>
        <w:rPr>
          <w:sz w:val="24"/>
        </w:rPr>
        <w:t xml:space="preserve"> Крайникова. – Н.Новгород: Приволжский центр методического и информационного обеспечения оценки, 2018. – 286 с.</w:t>
      </w:r>
    </w:p>
    <w:p w:rsidR="00E85D42" w:rsidRDefault="008113B9">
      <w:pPr>
        <w:jc w:val="both"/>
      </w:pPr>
      <w:r>
        <w:rPr>
          <w:sz w:val="24"/>
        </w:rPr>
        <w:t xml:space="preserve">Справочник оценщика недвижимости – 2018. Земельные участки. Часть </w:t>
      </w:r>
      <w:r>
        <w:rPr>
          <w:sz w:val="24"/>
          <w:lang w:val="en-US"/>
        </w:rPr>
        <w:t>II</w:t>
      </w:r>
      <w:r>
        <w:rPr>
          <w:sz w:val="24"/>
        </w:rPr>
        <w:t xml:space="preserve"> / Л.А. Лейфер, Т.В. Крайникова. – Н.Новгород: Приволжский центр методическо</w:t>
      </w:r>
      <w:r>
        <w:rPr>
          <w:sz w:val="24"/>
        </w:rPr>
        <w:t>го и информационного обеспечения оценки, 2018. – 352 с.</w:t>
      </w:r>
    </w:p>
    <w:p w:rsidR="00E85D42" w:rsidRDefault="008113B9">
      <w:pPr>
        <w:jc w:val="both"/>
        <w:rPr>
          <w:sz w:val="24"/>
        </w:rPr>
      </w:pPr>
      <w:r>
        <w:rPr>
          <w:sz w:val="24"/>
        </w:rPr>
        <w:t>Справочник оценщика недвижимости – 2018. Жиле дома. / Л.А. Лейфер, Т.В. Крайникова. – Н.Новгород: Приволжский центр методического и информационного обеспечения оценки, 2018. – 311 с.</w:t>
      </w:r>
    </w:p>
    <w:p w:rsidR="00E85D42" w:rsidRDefault="008113B9">
      <w:pPr>
        <w:jc w:val="both"/>
        <w:rPr>
          <w:sz w:val="24"/>
        </w:rPr>
      </w:pPr>
      <w:r>
        <w:rPr>
          <w:sz w:val="24"/>
        </w:rPr>
        <w:t>Справочник оценщи</w:t>
      </w:r>
      <w:r>
        <w:rPr>
          <w:sz w:val="24"/>
        </w:rPr>
        <w:t>ка недвижимости – 2018. Производственно-складская недвижимость и сходные типы объектов. / Л.А. Лейфер, Т.В. Крайникова. – Н.Новгород: Приволжский центр методического и информационного обеспечения оценки, 2018. – 361 с.</w:t>
      </w:r>
    </w:p>
    <w:p w:rsidR="00E85D42" w:rsidRDefault="008113B9">
      <w:pPr>
        <w:jc w:val="both"/>
        <w:rPr>
          <w:sz w:val="24"/>
        </w:rPr>
      </w:pPr>
      <w:r>
        <w:rPr>
          <w:sz w:val="24"/>
        </w:rPr>
        <w:t>Справочник оценщика недвижимости – 20</w:t>
      </w:r>
      <w:r>
        <w:rPr>
          <w:sz w:val="24"/>
        </w:rPr>
        <w:t>18. Офисно-торговая недвижимость и сходные типы объектов. / Л.А. Лейфер, Т.В. Крайникова. – Н.Новгород: Приволжский центр методического и информационного обеспечения оценки, 2018. – 357 с.</w:t>
      </w:r>
    </w:p>
    <w:p w:rsidR="00E85D42" w:rsidRDefault="008113B9">
      <w:pPr>
        <w:jc w:val="both"/>
        <w:rPr>
          <w:sz w:val="24"/>
        </w:rPr>
      </w:pPr>
      <w:r>
        <w:rPr>
          <w:sz w:val="24"/>
        </w:rPr>
        <w:t xml:space="preserve">Модели и методы кадастровой оценки недвижимости: учеб. Пособие для </w:t>
      </w:r>
      <w:r>
        <w:rPr>
          <w:sz w:val="24"/>
        </w:rPr>
        <w:t>академического бакалавриата / А.В. Пылаева. – 2-е изд., исп. и доп. – М.: Издательство Юрайт, 2018. – 173 с. – Серия: Университеты России.</w:t>
      </w:r>
    </w:p>
    <w:p w:rsidR="00E85D42" w:rsidRDefault="008113B9">
      <w:pPr>
        <w:jc w:val="both"/>
        <w:rPr>
          <w:sz w:val="24"/>
        </w:rPr>
      </w:pPr>
      <w:r>
        <w:rPr>
          <w:sz w:val="24"/>
        </w:rPr>
        <w:t xml:space="preserve">Кадастровая оценка, налогообложение и устойчивое развитие территорий: Учебное пособие. / С.П. Коростелев – 2-е изд., </w:t>
      </w:r>
      <w:r>
        <w:rPr>
          <w:sz w:val="24"/>
        </w:rPr>
        <w:t>исп. и доп. – М.: ООО «Про-Аппрайзер», 2017. – 336с.</w:t>
      </w:r>
    </w:p>
    <w:p w:rsidR="00E85D42" w:rsidRDefault="008113B9">
      <w:pPr>
        <w:jc w:val="both"/>
        <w:rPr>
          <w:sz w:val="24"/>
        </w:rPr>
      </w:pPr>
      <w:r>
        <w:rPr>
          <w:sz w:val="24"/>
        </w:rPr>
        <w:t>Агроклиматическое зонирование, Республика Башкортостан. Справочник агроклиматического оценочного зонирования субъектов Российской Федерации. Учебно-практическое пособие / Под ред. С.И. Носова, М.Маросейк</w:t>
      </w:r>
      <w:r>
        <w:rPr>
          <w:sz w:val="24"/>
        </w:rPr>
        <w:t>а, 2010. - 208 с.</w:t>
      </w:r>
    </w:p>
    <w:p w:rsidR="00E85D42" w:rsidRDefault="008113B9">
      <w:pPr>
        <w:jc w:val="both"/>
        <w:rPr>
          <w:sz w:val="24"/>
        </w:rPr>
      </w:pPr>
      <w:r>
        <w:rPr>
          <w:sz w:val="24"/>
        </w:rPr>
        <w:t>Организация санитарно-курортной деятельности: учебное пособие / А.М. Ветитнев, Я.А. Войнова. – М.: Федеральное агентство по туризму, 2014. – 272 с.</w:t>
      </w:r>
    </w:p>
    <w:p w:rsidR="00E85D42" w:rsidRDefault="008113B9">
      <w:pPr>
        <w:jc w:val="both"/>
        <w:rPr>
          <w:sz w:val="24"/>
        </w:rPr>
      </w:pPr>
      <w:r>
        <w:rPr>
          <w:sz w:val="24"/>
        </w:rPr>
        <w:t>Проблемы и перспективы развития туризма в Южном федеральном округе: сб. науч. тр. – Симфер</w:t>
      </w:r>
      <w:r>
        <w:rPr>
          <w:sz w:val="24"/>
        </w:rPr>
        <w:t>ополь: ИТ «Ариал», 2017. -300 с.</w:t>
      </w:r>
    </w:p>
    <w:p w:rsidR="00E85D42" w:rsidRDefault="008113B9">
      <w:pPr>
        <w:jc w:val="both"/>
        <w:rPr>
          <w:sz w:val="24"/>
        </w:rPr>
      </w:pPr>
      <w:r>
        <w:rPr>
          <w:sz w:val="24"/>
        </w:rPr>
        <w:t>Атлас Республики Башкортостан. – Уфа: ГУП РБ «Башкирское издательство «Китап», 2005г. 419 с.</w:t>
      </w:r>
    </w:p>
    <w:p w:rsidR="00E85D42" w:rsidRDefault="008113B9">
      <w:pPr>
        <w:jc w:val="both"/>
        <w:rPr>
          <w:sz w:val="24"/>
        </w:rPr>
      </w:pPr>
      <w:r>
        <w:rPr>
          <w:sz w:val="24"/>
        </w:rPr>
        <w:t>Математические методы оценки стоимости имущества. Учебное пособие /С.В. Грибовский, С.А. Сивец, И.А. Левыкина – М.:Маросейка, Книж</w:t>
      </w:r>
      <w:r>
        <w:rPr>
          <w:sz w:val="24"/>
        </w:rPr>
        <w:t>ная линия, 2014. – 352 с.</w:t>
      </w:r>
    </w:p>
    <w:p w:rsidR="00E85D42" w:rsidRDefault="008113B9">
      <w:pPr>
        <w:pStyle w:val="ab"/>
        <w:keepNext/>
        <w:numPr>
          <w:ilvl w:val="1"/>
          <w:numId w:val="17"/>
        </w:numPr>
        <w:ind w:left="0" w:firstLine="0"/>
        <w:jc w:val="center"/>
        <w:rPr>
          <w:b/>
          <w:sz w:val="24"/>
        </w:rPr>
      </w:pPr>
      <w:bookmarkStart w:id="85" w:name="_Toc511658808"/>
      <w:bookmarkStart w:id="86" w:name="_Toc11934882"/>
      <w:r>
        <w:rPr>
          <w:b/>
          <w:sz w:val="24"/>
        </w:rPr>
        <w:t>Интернет-ресурсы</w:t>
      </w:r>
      <w:bookmarkEnd w:id="85"/>
      <w:bookmarkEnd w:id="86"/>
    </w:p>
    <w:p w:rsidR="00E85D42" w:rsidRDefault="008113B9">
      <w:pPr>
        <w:jc w:val="both"/>
      </w:pPr>
      <w:r>
        <w:rPr>
          <w:sz w:val="24"/>
          <w:lang w:eastAsia="en-US"/>
        </w:rPr>
        <w:t xml:space="preserve">Официальный сайт Правительства Республики Башкортостан: </w:t>
      </w:r>
      <w:hyperlink r:id="rId39" w:history="1">
        <w:r>
          <w:rPr>
            <w:sz w:val="24"/>
            <w:lang w:eastAsia="en-US"/>
          </w:rPr>
          <w:t>https://pravitelstvorb.ru</w:t>
        </w:r>
      </w:hyperlink>
      <w:r>
        <w:rPr>
          <w:sz w:val="24"/>
          <w:lang w:eastAsia="en-US"/>
        </w:rPr>
        <w:t>/.</w:t>
      </w:r>
    </w:p>
    <w:p w:rsidR="00E85D42" w:rsidRDefault="008113B9">
      <w:pPr>
        <w:jc w:val="both"/>
        <w:rPr>
          <w:sz w:val="24"/>
          <w:lang w:eastAsia="en-US"/>
        </w:rPr>
      </w:pPr>
      <w:r>
        <w:rPr>
          <w:sz w:val="24"/>
          <w:lang w:eastAsia="en-US"/>
        </w:rPr>
        <w:t xml:space="preserve">Официальный сайт министерства земельных и имущественных отношений Республики </w:t>
      </w:r>
      <w:r>
        <w:rPr>
          <w:sz w:val="24"/>
          <w:lang w:eastAsia="en-US"/>
        </w:rPr>
        <w:t>Башкортостан: https://mzio.bashkortostan.ru/.</w:t>
      </w:r>
    </w:p>
    <w:p w:rsidR="00E85D42" w:rsidRDefault="008113B9">
      <w:pPr>
        <w:jc w:val="both"/>
      </w:pPr>
      <w:r>
        <w:rPr>
          <w:sz w:val="24"/>
          <w:lang w:eastAsia="en-US"/>
        </w:rPr>
        <w:t xml:space="preserve">Официальный сайт министерства финансов Республики Башкортостан </w:t>
      </w:r>
      <w:hyperlink r:id="rId40" w:history="1">
        <w:r>
          <w:rPr>
            <w:sz w:val="24"/>
            <w:lang w:eastAsia="en-US"/>
          </w:rPr>
          <w:t>https://minfin.bashkortostan.ru</w:t>
        </w:r>
      </w:hyperlink>
      <w:r>
        <w:rPr>
          <w:sz w:val="24"/>
          <w:lang w:eastAsia="en-US"/>
        </w:rPr>
        <w:t>/.</w:t>
      </w:r>
    </w:p>
    <w:p w:rsidR="00E85D42" w:rsidRDefault="008113B9">
      <w:pPr>
        <w:jc w:val="both"/>
      </w:pPr>
      <w:r>
        <w:rPr>
          <w:sz w:val="24"/>
          <w:lang w:eastAsia="en-US"/>
        </w:rPr>
        <w:t xml:space="preserve">Официальный сайт Минэкономразвития России:  </w:t>
      </w:r>
      <w:hyperlink r:id="rId41" w:history="1">
        <w:r>
          <w:rPr>
            <w:sz w:val="24"/>
            <w:lang w:eastAsia="en-US"/>
          </w:rPr>
          <w:t>http://economy.gov.ru/</w:t>
        </w:r>
      </w:hyperlink>
      <w:r>
        <w:rPr>
          <w:sz w:val="24"/>
          <w:lang w:eastAsia="en-US"/>
        </w:rPr>
        <w:t>.</w:t>
      </w:r>
    </w:p>
    <w:p w:rsidR="00E85D42" w:rsidRDefault="008113B9">
      <w:pPr>
        <w:jc w:val="both"/>
        <w:rPr>
          <w:sz w:val="24"/>
          <w:lang w:eastAsia="en-US"/>
        </w:rPr>
      </w:pPr>
      <w:r>
        <w:rPr>
          <w:sz w:val="24"/>
          <w:lang w:eastAsia="en-US"/>
        </w:rPr>
        <w:t>Официальный сайт Федеральной службы государственной статистики по Республике Башкортостан http://bashstat.gks.ru/</w:t>
      </w:r>
    </w:p>
    <w:p w:rsidR="00E85D42" w:rsidRDefault="008113B9">
      <w:pPr>
        <w:jc w:val="both"/>
      </w:pPr>
      <w:r>
        <w:rPr>
          <w:sz w:val="24"/>
          <w:lang w:eastAsia="en-US"/>
        </w:rPr>
        <w:t xml:space="preserve">Официальный сайт Федеральной службы государственной статистики: </w:t>
      </w:r>
      <w:hyperlink r:id="rId42" w:history="1">
        <w:r>
          <w:rPr>
            <w:sz w:val="24"/>
            <w:lang w:eastAsia="en-US"/>
          </w:rPr>
          <w:t>http://www.gks.ru</w:t>
        </w:r>
      </w:hyperlink>
      <w:r>
        <w:rPr>
          <w:sz w:val="24"/>
          <w:lang w:eastAsia="en-US"/>
        </w:rPr>
        <w:t>/.</w:t>
      </w:r>
    </w:p>
    <w:p w:rsidR="00E85D42" w:rsidRDefault="008113B9">
      <w:pPr>
        <w:jc w:val="both"/>
        <w:rPr>
          <w:sz w:val="24"/>
          <w:lang w:eastAsia="en-US"/>
        </w:rPr>
      </w:pPr>
      <w:r>
        <w:rPr>
          <w:sz w:val="24"/>
          <w:lang w:eastAsia="en-US"/>
        </w:rPr>
        <w:t>Официальный сайт Росреестра: https://rosreestr.ru/.</w:t>
      </w:r>
    </w:p>
    <w:p w:rsidR="00E85D42" w:rsidRDefault="008113B9">
      <w:pPr>
        <w:jc w:val="both"/>
        <w:rPr>
          <w:sz w:val="24"/>
          <w:lang w:eastAsia="en-US"/>
        </w:rPr>
      </w:pPr>
      <w:r>
        <w:rPr>
          <w:sz w:val="24"/>
          <w:lang w:eastAsia="en-US"/>
        </w:rPr>
        <w:t>Портал услуг Росреестра. Сервис: Публичная кадастровая карта: https://pkk5.rosreestr.ru/.</w:t>
      </w:r>
    </w:p>
    <w:p w:rsidR="00E85D42" w:rsidRDefault="008113B9">
      <w:pPr>
        <w:jc w:val="both"/>
      </w:pPr>
      <w:r>
        <w:rPr>
          <w:sz w:val="24"/>
          <w:lang w:eastAsia="en-US"/>
        </w:rPr>
        <w:t>Портал услуг Росреестра. Сервис: Справочная информация по объектам недвижимости в режиме onl</w:t>
      </w:r>
      <w:r>
        <w:rPr>
          <w:sz w:val="24"/>
          <w:lang w:eastAsia="en-US"/>
        </w:rPr>
        <w:t xml:space="preserve">ine: </w:t>
      </w:r>
      <w:hyperlink r:id="rId43" w:history="1">
        <w:r>
          <w:rPr>
            <w:sz w:val="24"/>
            <w:lang w:eastAsia="en-US"/>
          </w:rPr>
          <w:t>https://rosreestr.ru/wps/portal/online_request</w:t>
        </w:r>
      </w:hyperlink>
      <w:r>
        <w:rPr>
          <w:sz w:val="24"/>
          <w:lang w:eastAsia="en-US"/>
        </w:rPr>
        <w:t>/.</w:t>
      </w:r>
    </w:p>
    <w:p w:rsidR="00E85D42" w:rsidRDefault="008113B9">
      <w:pPr>
        <w:jc w:val="both"/>
        <w:rPr>
          <w:sz w:val="24"/>
          <w:lang w:eastAsia="en-US"/>
        </w:rPr>
      </w:pPr>
      <w:r>
        <w:rPr>
          <w:sz w:val="24"/>
          <w:lang w:eastAsia="en-US"/>
        </w:rPr>
        <w:t>Яндекс. Карты: https://yandex.ru/maps/.</w:t>
      </w:r>
    </w:p>
    <w:p w:rsidR="00E85D42" w:rsidRDefault="008113B9">
      <w:pPr>
        <w:jc w:val="both"/>
        <w:rPr>
          <w:sz w:val="24"/>
          <w:lang w:eastAsia="en-US"/>
        </w:rPr>
      </w:pPr>
      <w:r>
        <w:rPr>
          <w:sz w:val="24"/>
          <w:lang w:eastAsia="en-US"/>
        </w:rPr>
        <w:t>Google. Карты: https://www.google.ru/maps/.</w:t>
      </w:r>
    </w:p>
    <w:p w:rsidR="00E85D42" w:rsidRDefault="008113B9">
      <w:pPr>
        <w:jc w:val="both"/>
        <w:rPr>
          <w:sz w:val="24"/>
          <w:lang w:eastAsia="en-US"/>
        </w:rPr>
      </w:pPr>
      <w:r>
        <w:rPr>
          <w:sz w:val="24"/>
          <w:lang w:eastAsia="en-US"/>
        </w:rPr>
        <w:t>Международный бесплатный веб-сайт Викимапия: http://wi</w:t>
      </w:r>
      <w:r>
        <w:rPr>
          <w:sz w:val="24"/>
          <w:lang w:eastAsia="en-US"/>
        </w:rPr>
        <w:t>kimapia.org/.</w:t>
      </w:r>
    </w:p>
    <w:p w:rsidR="00E85D42" w:rsidRDefault="008113B9">
      <w:pPr>
        <w:jc w:val="both"/>
        <w:rPr>
          <w:sz w:val="24"/>
          <w:lang w:eastAsia="en-US"/>
        </w:rPr>
      </w:pPr>
      <w:r>
        <w:rPr>
          <w:sz w:val="24"/>
          <w:lang w:eastAsia="en-US"/>
        </w:rPr>
        <w:t>Сайт объявлений «Avito»: https://www.avito.ru/.</w:t>
      </w:r>
    </w:p>
    <w:p w:rsidR="00E85D42" w:rsidRDefault="008113B9">
      <w:pPr>
        <w:jc w:val="both"/>
        <w:rPr>
          <w:sz w:val="24"/>
          <w:lang w:eastAsia="en-US"/>
        </w:rPr>
      </w:pPr>
      <w:r>
        <w:rPr>
          <w:sz w:val="24"/>
          <w:lang w:eastAsia="en-US"/>
        </w:rPr>
        <w:t>Официальный сайт компании «КонсультантПлюс»: http://www.consultant.ru/.</w:t>
      </w:r>
    </w:p>
    <w:p w:rsidR="00E85D42" w:rsidRDefault="008113B9">
      <w:pPr>
        <w:jc w:val="both"/>
      </w:pPr>
      <w:r>
        <w:rPr>
          <w:sz w:val="24"/>
          <w:lang w:eastAsia="en-US"/>
        </w:rPr>
        <w:t xml:space="preserve">Официальный интернет-сайт ЦБ РФ, </w:t>
      </w:r>
      <w:hyperlink r:id="rId44" w:history="1">
        <w:r>
          <w:rPr>
            <w:sz w:val="24"/>
            <w:lang w:eastAsia="en-US"/>
          </w:rPr>
          <w:t>http://www.cbr.ru</w:t>
        </w:r>
      </w:hyperlink>
      <w:r>
        <w:rPr>
          <w:sz w:val="24"/>
          <w:lang w:eastAsia="en-US"/>
        </w:rPr>
        <w:t>.</w:t>
      </w:r>
    </w:p>
    <w:p w:rsidR="00E85D42" w:rsidRDefault="008113B9">
      <w:pPr>
        <w:jc w:val="both"/>
        <w:rPr>
          <w:sz w:val="24"/>
          <w:lang w:eastAsia="en-US"/>
        </w:rPr>
      </w:pPr>
      <w:r>
        <w:rPr>
          <w:sz w:val="24"/>
          <w:lang w:eastAsia="en-US"/>
        </w:rPr>
        <w:t xml:space="preserve">Официальный сайт Федерального </w:t>
      </w:r>
      <w:r>
        <w:rPr>
          <w:sz w:val="24"/>
          <w:lang w:eastAsia="en-US"/>
        </w:rPr>
        <w:t>управления автомобильных дорог «Приуралье» (Федерального дорожного агентства) http://ud-ufa.ru/.</w:t>
      </w:r>
    </w:p>
    <w:p w:rsidR="00E85D42" w:rsidRDefault="008113B9">
      <w:pPr>
        <w:jc w:val="both"/>
      </w:pPr>
      <w:r>
        <w:rPr>
          <w:sz w:val="24"/>
          <w:lang w:eastAsia="en-US"/>
        </w:rPr>
        <w:t xml:space="preserve">Сайт ООО «Рейтинговое агентство «РИА Рейтинг»: </w:t>
      </w:r>
      <w:hyperlink r:id="rId45" w:history="1">
        <w:r>
          <w:rPr>
            <w:sz w:val="24"/>
            <w:lang w:eastAsia="en-US"/>
          </w:rPr>
          <w:t>http://riarating.ru/</w:t>
        </w:r>
      </w:hyperlink>
      <w:r>
        <w:rPr>
          <w:sz w:val="24"/>
          <w:lang w:eastAsia="en-US"/>
        </w:rPr>
        <w:t>.</w:t>
      </w:r>
    </w:p>
    <w:p w:rsidR="00E85D42" w:rsidRDefault="008113B9">
      <w:pPr>
        <w:jc w:val="both"/>
      </w:pPr>
      <w:r>
        <w:rPr>
          <w:sz w:val="24"/>
          <w:lang w:eastAsia="en-US"/>
        </w:rPr>
        <w:t xml:space="preserve">Сайт ООО «Зеленый патруль»: </w:t>
      </w:r>
      <w:hyperlink r:id="rId46" w:history="1">
        <w:r>
          <w:rPr>
            <w:sz w:val="24"/>
            <w:lang w:eastAsia="en-US"/>
          </w:rPr>
          <w:t>http://greenpatrol.ru/</w:t>
        </w:r>
      </w:hyperlink>
      <w:r>
        <w:rPr>
          <w:sz w:val="24"/>
          <w:lang w:eastAsia="en-US"/>
        </w:rPr>
        <w:t>.</w:t>
      </w:r>
    </w:p>
    <w:p w:rsidR="00E85D42" w:rsidRDefault="008113B9">
      <w:pPr>
        <w:jc w:val="both"/>
      </w:pPr>
      <w:r>
        <w:rPr>
          <w:sz w:val="24"/>
          <w:lang w:eastAsia="en-US"/>
        </w:rPr>
        <w:t xml:space="preserve">Сайт: </w:t>
      </w:r>
      <w:hyperlink r:id="rId47" w:history="1">
        <w:r>
          <w:rPr>
            <w:sz w:val="24"/>
            <w:lang w:eastAsia="en-US"/>
          </w:rPr>
          <w:t>Республиканская организация Башкортостана Российского профсоюза трудящихся авиационной промышленности</w:t>
        </w:r>
      </w:hyperlink>
      <w:r>
        <w:rPr>
          <w:sz w:val="24"/>
          <w:lang w:eastAsia="en-US"/>
        </w:rPr>
        <w:t>: http://profaviarb.ru/.</w:t>
      </w:r>
    </w:p>
    <w:p w:rsidR="00E85D42" w:rsidRDefault="008113B9">
      <w:pPr>
        <w:jc w:val="both"/>
      </w:pPr>
      <w:r>
        <w:rPr>
          <w:sz w:val="24"/>
          <w:lang w:eastAsia="en-US"/>
        </w:rPr>
        <w:t>Сайт: информационный портал недвижимо</w:t>
      </w:r>
      <w:r>
        <w:rPr>
          <w:sz w:val="24"/>
          <w:lang w:eastAsia="en-US"/>
        </w:rPr>
        <w:t xml:space="preserve">сти (база объектов, статистика, анализ рынка) Статриелт – Statrielt: </w:t>
      </w:r>
      <w:hyperlink r:id="rId48" w:history="1">
        <w:r>
          <w:rPr>
            <w:sz w:val="24"/>
            <w:lang w:eastAsia="en-US"/>
          </w:rPr>
          <w:t>https://statrielt.ru/</w:t>
        </w:r>
      </w:hyperlink>
      <w:r>
        <w:rPr>
          <w:sz w:val="24"/>
          <w:lang w:eastAsia="en-US"/>
        </w:rPr>
        <w:t>.</w:t>
      </w:r>
    </w:p>
    <w:p w:rsidR="00E85D42" w:rsidRDefault="008113B9">
      <w:pPr>
        <w:jc w:val="both"/>
      </w:pPr>
      <w:r>
        <w:rPr>
          <w:sz w:val="24"/>
          <w:lang w:eastAsia="en-US"/>
        </w:rPr>
        <w:t>Портал</w:t>
      </w:r>
      <w:r>
        <w:rPr>
          <w:sz w:val="24"/>
          <w:lang w:val="en-US" w:eastAsia="en-US"/>
        </w:rPr>
        <w:t xml:space="preserve"> Business Asset Exchange GmbH: </w:t>
      </w:r>
      <w:hyperlink r:id="rId49" w:history="1">
        <w:r>
          <w:rPr>
            <w:sz w:val="24"/>
            <w:lang w:val="en-US" w:eastAsia="en-US"/>
          </w:rPr>
          <w:t>https://business-asset.com/ru/</w:t>
        </w:r>
      </w:hyperlink>
      <w:r>
        <w:rPr>
          <w:sz w:val="24"/>
          <w:lang w:val="en-US" w:eastAsia="en-US"/>
        </w:rPr>
        <w:t>.</w:t>
      </w:r>
    </w:p>
    <w:p w:rsidR="00E85D42" w:rsidRDefault="008113B9">
      <w:pPr>
        <w:jc w:val="both"/>
      </w:pPr>
      <w:r>
        <w:rPr>
          <w:sz w:val="24"/>
          <w:lang w:eastAsia="en-US"/>
        </w:rPr>
        <w:t>Интернет</w:t>
      </w:r>
      <w:r>
        <w:rPr>
          <w:sz w:val="24"/>
          <w:lang w:eastAsia="en-US"/>
        </w:rPr>
        <w:t xml:space="preserve"> журнал Hotelier.PRO: </w:t>
      </w:r>
      <w:hyperlink r:id="rId50" w:history="1">
        <w:r>
          <w:rPr>
            <w:sz w:val="24"/>
            <w:lang w:eastAsia="en-US"/>
          </w:rPr>
          <w:t>http://hotelier.pro/</w:t>
        </w:r>
      </w:hyperlink>
      <w:r>
        <w:rPr>
          <w:sz w:val="24"/>
          <w:lang w:eastAsia="en-US"/>
        </w:rPr>
        <w:t>.</w:t>
      </w:r>
    </w:p>
    <w:p w:rsidR="00E85D42" w:rsidRDefault="008113B9">
      <w:pPr>
        <w:jc w:val="both"/>
        <w:rPr>
          <w:sz w:val="24"/>
          <w:lang w:eastAsia="en-US"/>
        </w:rPr>
      </w:pPr>
      <w:r>
        <w:rPr>
          <w:sz w:val="24"/>
          <w:lang w:eastAsia="en-US"/>
        </w:rPr>
        <w:t>Государственный реестр курортного фонда Российской Федерации: https://kurort.rosminzdrav.ru/.</w:t>
      </w:r>
    </w:p>
    <w:p w:rsidR="00E85D42" w:rsidRDefault="008113B9">
      <w:pPr>
        <w:jc w:val="both"/>
      </w:pPr>
      <w:r>
        <w:rPr>
          <w:sz w:val="24"/>
          <w:lang w:eastAsia="en-US"/>
        </w:rPr>
        <w:t xml:space="preserve">Официальный сайт Федерального агентства по туризму: </w:t>
      </w:r>
      <w:hyperlink r:id="rId51" w:history="1">
        <w:r>
          <w:rPr>
            <w:sz w:val="24"/>
            <w:lang w:eastAsia="en-US"/>
          </w:rPr>
          <w:t>https://www.russiatourism.ru/</w:t>
        </w:r>
      </w:hyperlink>
      <w:r>
        <w:rPr>
          <w:sz w:val="24"/>
          <w:lang w:eastAsia="en-US"/>
        </w:rPr>
        <w:t>.</w:t>
      </w:r>
    </w:p>
    <w:p w:rsidR="00E85D42" w:rsidRDefault="008113B9">
      <w:pPr>
        <w:jc w:val="both"/>
      </w:pPr>
      <w:r>
        <w:rPr>
          <w:sz w:val="24"/>
          <w:lang w:eastAsia="en-US"/>
        </w:rPr>
        <w:t xml:space="preserve">Сайт Туроператора "Премьер Тур": </w:t>
      </w:r>
      <w:hyperlink r:id="rId52" w:history="1">
        <w:r>
          <w:rPr>
            <w:sz w:val="24"/>
            <w:lang w:eastAsia="en-US"/>
          </w:rPr>
          <w:t>https://premier-tur.com/</w:t>
        </w:r>
      </w:hyperlink>
      <w:r>
        <w:rPr>
          <w:sz w:val="24"/>
          <w:lang w:eastAsia="en-US"/>
        </w:rPr>
        <w:t>.</w:t>
      </w:r>
    </w:p>
    <w:p w:rsidR="00E85D42" w:rsidRDefault="008113B9">
      <w:pPr>
        <w:jc w:val="both"/>
      </w:pPr>
      <w:r>
        <w:rPr>
          <w:sz w:val="24"/>
          <w:lang w:eastAsia="en-US"/>
        </w:rPr>
        <w:t xml:space="preserve">Сайт Туроператора «Рива»: </w:t>
      </w:r>
      <w:hyperlink r:id="rId53" w:history="1">
        <w:r>
          <w:rPr>
            <w:sz w:val="24"/>
            <w:lang w:eastAsia="en-US"/>
          </w:rPr>
          <w:t>http://bash.riva-ufa.ru/</w:t>
        </w:r>
      </w:hyperlink>
      <w:r>
        <w:rPr>
          <w:sz w:val="24"/>
          <w:lang w:eastAsia="en-US"/>
        </w:rPr>
        <w:t>.</w:t>
      </w:r>
    </w:p>
    <w:p w:rsidR="00E85D42" w:rsidRDefault="008113B9">
      <w:pPr>
        <w:jc w:val="both"/>
        <w:rPr>
          <w:sz w:val="24"/>
          <w:lang w:eastAsia="en-US"/>
        </w:rPr>
      </w:pPr>
      <w:r>
        <w:rPr>
          <w:sz w:val="24"/>
          <w:lang w:eastAsia="en-US"/>
        </w:rPr>
        <w:t xml:space="preserve">Сайт ИЦРОН </w:t>
      </w:r>
      <w:r>
        <w:rPr>
          <w:sz w:val="24"/>
          <w:lang w:eastAsia="en-US"/>
        </w:rPr>
        <w:t>(Инновационный центр развития образования и науки): http://izron.ru/.</w:t>
      </w:r>
    </w:p>
    <w:p w:rsidR="00E85D42" w:rsidRDefault="008113B9">
      <w:pPr>
        <w:jc w:val="both"/>
      </w:pPr>
      <w:r>
        <w:rPr>
          <w:sz w:val="24"/>
          <w:lang w:eastAsia="en-US"/>
        </w:rPr>
        <w:t xml:space="preserve">Научная электронная библиотека КиберЛенинка: </w:t>
      </w:r>
      <w:hyperlink r:id="rId54" w:history="1">
        <w:r>
          <w:rPr>
            <w:sz w:val="24"/>
            <w:lang w:eastAsia="en-US"/>
          </w:rPr>
          <w:t>https://cyberleninka.ru/</w:t>
        </w:r>
      </w:hyperlink>
    </w:p>
    <w:p w:rsidR="00E85D42" w:rsidRDefault="008113B9">
      <w:pPr>
        <w:jc w:val="both"/>
      </w:pPr>
      <w:r>
        <w:rPr>
          <w:sz w:val="24"/>
          <w:lang w:eastAsia="en-US"/>
        </w:rPr>
        <w:t xml:space="preserve">Сайт: Евразийский научный журнал: </w:t>
      </w:r>
      <w:hyperlink r:id="rId55" w:history="1">
        <w:r>
          <w:rPr>
            <w:sz w:val="24"/>
            <w:lang w:eastAsia="en-US"/>
          </w:rPr>
          <w:t>h</w:t>
        </w:r>
        <w:r>
          <w:rPr>
            <w:sz w:val="24"/>
            <w:lang w:eastAsia="en-US"/>
          </w:rPr>
          <w:t>ttp://journalpro.ru/</w:t>
        </w:r>
      </w:hyperlink>
    </w:p>
    <w:p w:rsidR="00E85D42" w:rsidRDefault="008113B9">
      <w:pPr>
        <w:jc w:val="both"/>
      </w:pPr>
      <w:r>
        <w:rPr>
          <w:sz w:val="24"/>
          <w:lang w:eastAsia="en-US"/>
        </w:rPr>
        <w:t xml:space="preserve">Сайт АО «Эксперт РА»: </w:t>
      </w:r>
      <w:hyperlink r:id="rId56" w:history="1">
        <w:r>
          <w:rPr>
            <w:sz w:val="24"/>
            <w:lang w:eastAsia="en-US"/>
          </w:rPr>
          <w:t>https://raexpert.ru/</w:t>
        </w:r>
      </w:hyperlink>
      <w:r>
        <w:rPr>
          <w:sz w:val="24"/>
          <w:lang w:eastAsia="en-US"/>
        </w:rPr>
        <w:t>.</w:t>
      </w:r>
    </w:p>
    <w:p w:rsidR="00E85D42" w:rsidRDefault="008113B9">
      <w:pPr>
        <w:jc w:val="both"/>
      </w:pPr>
      <w:r>
        <w:rPr>
          <w:sz w:val="24"/>
          <w:lang w:eastAsia="en-US"/>
        </w:rPr>
        <w:t xml:space="preserve">Сайт "Аквакультура»: </w:t>
      </w:r>
      <w:hyperlink r:id="rId57" w:history="1">
        <w:r>
          <w:rPr>
            <w:sz w:val="24"/>
            <w:lang w:eastAsia="en-US"/>
          </w:rPr>
          <w:t>http://arktikfish.com/</w:t>
        </w:r>
      </w:hyperlink>
      <w:r>
        <w:rPr>
          <w:sz w:val="24"/>
          <w:lang w:eastAsia="en-US"/>
        </w:rPr>
        <w:t>.</w:t>
      </w:r>
    </w:p>
    <w:p w:rsidR="00E85D42" w:rsidRDefault="008113B9">
      <w:pPr>
        <w:jc w:val="both"/>
      </w:pPr>
      <w:r>
        <w:rPr>
          <w:sz w:val="24"/>
          <w:lang w:eastAsia="en-US"/>
        </w:rPr>
        <w:t>Сайт</w:t>
      </w:r>
      <w:r>
        <w:rPr>
          <w:sz w:val="24"/>
          <w:lang w:val="en-US" w:eastAsia="en-US"/>
        </w:rPr>
        <w:t xml:space="preserve"> «Buzinushka Permaculture»: </w:t>
      </w:r>
      <w:hyperlink r:id="rId58" w:history="1">
        <w:r>
          <w:rPr>
            <w:sz w:val="24"/>
            <w:lang w:val="en-US" w:eastAsia="en-US"/>
          </w:rPr>
          <w:t>https://buzinushka.ru/</w:t>
        </w:r>
      </w:hyperlink>
      <w:r>
        <w:rPr>
          <w:sz w:val="24"/>
          <w:lang w:val="en-US" w:eastAsia="en-US"/>
        </w:rPr>
        <w:t>.</w:t>
      </w:r>
    </w:p>
    <w:p w:rsidR="00E85D42" w:rsidRDefault="008113B9">
      <w:pPr>
        <w:jc w:val="both"/>
      </w:pPr>
      <w:r>
        <w:rPr>
          <w:sz w:val="24"/>
          <w:lang w:eastAsia="en-US"/>
        </w:rPr>
        <w:t>Сайт «Башкирская Энциклопедия»:</w:t>
      </w:r>
      <w:r>
        <w:t xml:space="preserve"> </w:t>
      </w:r>
      <w:hyperlink r:id="rId59" w:history="1">
        <w:r>
          <w:rPr>
            <w:color w:val="0000FF"/>
            <w:u w:val="single"/>
          </w:rPr>
          <w:t>http://xn----7sbacsfsccnbdnzsqis3h5a6ivbm.xn--p1ai/</w:t>
        </w:r>
      </w:hyperlink>
    </w:p>
    <w:p w:rsidR="00E85D42" w:rsidRDefault="008113B9">
      <w:pPr>
        <w:jc w:val="both"/>
      </w:pPr>
      <w:r>
        <w:rPr>
          <w:sz w:val="24"/>
          <w:lang w:eastAsia="en-US"/>
        </w:rPr>
        <w:t>Официальный сайт Российской Федерации для размещения информации о проведени</w:t>
      </w:r>
      <w:r>
        <w:rPr>
          <w:sz w:val="24"/>
          <w:lang w:eastAsia="en-US"/>
        </w:rPr>
        <w:t xml:space="preserve">и торгов: </w:t>
      </w:r>
      <w:hyperlink r:id="rId60" w:history="1">
        <w:r>
          <w:rPr>
            <w:sz w:val="24"/>
            <w:lang w:eastAsia="en-US"/>
          </w:rPr>
          <w:t>https://torgi.gov.ru/</w:t>
        </w:r>
      </w:hyperlink>
      <w:r>
        <w:rPr>
          <w:sz w:val="24"/>
          <w:lang w:eastAsia="en-US"/>
        </w:rPr>
        <w:t>.</w:t>
      </w:r>
    </w:p>
    <w:p w:rsidR="00E85D42" w:rsidRDefault="008113B9">
      <w:pPr>
        <w:jc w:val="both"/>
      </w:pPr>
      <w:r>
        <w:rPr>
          <w:sz w:val="24"/>
          <w:lang w:eastAsia="en-US"/>
        </w:rPr>
        <w:t xml:space="preserve">Сайт Информационное агентство Лес Онлайн: </w:t>
      </w:r>
      <w:hyperlink r:id="rId61" w:history="1">
        <w:r>
          <w:rPr>
            <w:sz w:val="24"/>
            <w:lang w:eastAsia="en-US"/>
          </w:rPr>
          <w:t>http://www.lesonline.ru/</w:t>
        </w:r>
      </w:hyperlink>
      <w:r>
        <w:rPr>
          <w:sz w:val="24"/>
          <w:lang w:eastAsia="en-US"/>
        </w:rPr>
        <w:t>.</w:t>
      </w:r>
    </w:p>
    <w:p w:rsidR="00E85D42" w:rsidRDefault="008113B9">
      <w:pPr>
        <w:jc w:val="both"/>
      </w:pPr>
      <w:r>
        <w:rPr>
          <w:sz w:val="24"/>
          <w:lang w:eastAsia="en-US"/>
        </w:rPr>
        <w:t xml:space="preserve">Официальный сайт ФБУ «Рослесозащита»: </w:t>
      </w:r>
      <w:r>
        <w:t>http://bashkortostan.rcfh.ru/</w:t>
      </w:r>
    </w:p>
    <w:p w:rsidR="00E85D42" w:rsidRDefault="00E85D42">
      <w:pPr>
        <w:jc w:val="both"/>
        <w:rPr>
          <w:sz w:val="24"/>
          <w:lang w:eastAsia="en-US"/>
        </w:rPr>
      </w:pPr>
    </w:p>
    <w:p w:rsidR="00E85D42" w:rsidRDefault="008113B9">
      <w:pPr>
        <w:jc w:val="both"/>
        <w:rPr>
          <w:sz w:val="24"/>
          <w:lang w:eastAsia="en-US"/>
        </w:rPr>
      </w:pPr>
      <w:r>
        <w:rPr>
          <w:sz w:val="24"/>
          <w:lang w:eastAsia="en-US"/>
        </w:rPr>
        <w:t>Официальные сайты муниципальных районов и городских округов Республики Башкортостан (таб. 2.4.1):</w:t>
      </w:r>
    </w:p>
    <w:p w:rsidR="00E85D42" w:rsidRDefault="008113B9">
      <w:pPr>
        <w:pStyle w:val="ad"/>
        <w:keepNext/>
        <w:jc w:val="right"/>
      </w:pPr>
      <w:r>
        <w:rPr>
          <w:b w:val="0"/>
          <w:i w:val="0"/>
          <w:sz w:val="24"/>
          <w:szCs w:val="24"/>
        </w:rPr>
        <w:t>Таблица 2.4.1</w:t>
      </w:r>
    </w:p>
    <w:tbl>
      <w:tblPr>
        <w:tblW w:w="5000" w:type="pct"/>
        <w:tblCellMar>
          <w:left w:w="10" w:type="dxa"/>
          <w:right w:w="10" w:type="dxa"/>
        </w:tblCellMar>
        <w:tblLook w:val="04A0" w:firstRow="1" w:lastRow="0" w:firstColumn="1" w:lastColumn="0" w:noHBand="0" w:noVBand="1"/>
      </w:tblPr>
      <w:tblGrid>
        <w:gridCol w:w="5074"/>
        <w:gridCol w:w="4496"/>
      </w:tblGrid>
      <w:tr w:rsidR="00E85D42">
        <w:tblPrEx>
          <w:tblCellMar>
            <w:top w:w="0" w:type="dxa"/>
            <w:bottom w:w="0" w:type="dxa"/>
          </w:tblCellMar>
        </w:tblPrEx>
        <w:trPr>
          <w:trHeight w:val="300"/>
          <w:tblHeader/>
        </w:trPr>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33"/>
              <w:jc w:val="center"/>
              <w:rPr>
                <w:b/>
                <w:sz w:val="24"/>
                <w:szCs w:val="24"/>
              </w:rPr>
            </w:pPr>
            <w:r>
              <w:rPr>
                <w:b/>
                <w:sz w:val="24"/>
                <w:szCs w:val="24"/>
              </w:rPr>
              <w:t>Наименование муниципальных районов и городских округов Республики Башкортостан</w:t>
            </w:r>
          </w:p>
        </w:tc>
        <w:tc>
          <w:tcPr>
            <w:tcW w:w="449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33"/>
              <w:jc w:val="center"/>
              <w:rPr>
                <w:b/>
                <w:sz w:val="24"/>
                <w:szCs w:val="24"/>
              </w:rPr>
            </w:pPr>
            <w:r>
              <w:rPr>
                <w:b/>
                <w:sz w:val="24"/>
                <w:szCs w:val="24"/>
              </w:rPr>
              <w:t>Официальный сайт</w:t>
            </w:r>
          </w:p>
        </w:tc>
      </w:tr>
      <w:tr w:rsidR="00E85D42">
        <w:tblPrEx>
          <w:tblCellMar>
            <w:top w:w="0" w:type="dxa"/>
            <w:bottom w:w="0" w:type="dxa"/>
          </w:tblCellMar>
        </w:tblPrEx>
        <w:trPr>
          <w:trHeight w:val="300"/>
        </w:trPr>
        <w:tc>
          <w:tcPr>
            <w:tcW w:w="50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rPr>
                <w:sz w:val="24"/>
                <w:szCs w:val="24"/>
              </w:rPr>
            </w:pPr>
            <w:r>
              <w:rPr>
                <w:sz w:val="24"/>
                <w:szCs w:val="24"/>
              </w:rPr>
              <w:t>Администрация ГО г. Агидель РБ</w:t>
            </w:r>
          </w:p>
        </w:tc>
        <w:tc>
          <w:tcPr>
            <w:tcW w:w="449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62" w:history="1">
              <w:r>
                <w:rPr>
                  <w:sz w:val="24"/>
                  <w:szCs w:val="24"/>
                </w:rPr>
                <w:t>https://agidel.bashkortostan.ru/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63" w:history="1">
              <w:r>
                <w:rPr>
                  <w:sz w:val="24"/>
                  <w:szCs w:val="24"/>
                </w:rPr>
                <w:t>Администрация ГО г. Кумертау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64" w:history="1">
              <w:r>
                <w:rPr>
                  <w:sz w:val="24"/>
                  <w:szCs w:val="24"/>
                </w:rPr>
                <w:t>http://admkumertau.ru/ru/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65" w:history="1">
              <w:r>
                <w:rPr>
                  <w:sz w:val="24"/>
                  <w:szCs w:val="24"/>
                </w:rPr>
                <w:t>Администрация ГО г. Нефтекамск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66" w:history="1">
              <w:r>
                <w:rPr>
                  <w:sz w:val="24"/>
                  <w:szCs w:val="24"/>
                </w:rPr>
                <w:t>http://neftcity.ru/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67" w:history="1">
              <w:r>
                <w:rPr>
                  <w:sz w:val="24"/>
                  <w:szCs w:val="24"/>
                </w:rPr>
                <w:t>Администрация ГО г. Октябрьский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68" w:history="1">
              <w:r>
                <w:rPr>
                  <w:sz w:val="24"/>
                  <w:szCs w:val="24"/>
                </w:rPr>
                <w:t>http://www.oktadm.ru/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69" w:history="1">
              <w:r>
                <w:rPr>
                  <w:sz w:val="24"/>
                  <w:szCs w:val="24"/>
                </w:rPr>
                <w:t>Администрация ГО г. Салават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70" w:history="1">
              <w:r>
                <w:rPr>
                  <w:sz w:val="24"/>
                  <w:szCs w:val="24"/>
                </w:rPr>
                <w:t>https://salavat.bashkortostan.ru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71" w:history="1">
              <w:r>
                <w:rPr>
                  <w:sz w:val="24"/>
                  <w:szCs w:val="24"/>
                </w:rPr>
                <w:t xml:space="preserve">Администрация ГО </w:t>
              </w:r>
              <w:r>
                <w:rPr>
                  <w:sz w:val="24"/>
                  <w:szCs w:val="24"/>
                </w:rPr>
                <w:t>г. Сибай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72" w:history="1">
              <w:r>
                <w:rPr>
                  <w:sz w:val="24"/>
                  <w:szCs w:val="24"/>
                </w:rPr>
                <w:t>https://sibay.bashkortostan.ru/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73" w:history="1">
              <w:r>
                <w:rPr>
                  <w:sz w:val="24"/>
                  <w:szCs w:val="24"/>
                </w:rPr>
                <w:t>Администрация ГО г. Стерлитамак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74" w:history="1">
              <w:r>
                <w:rPr>
                  <w:sz w:val="24"/>
                  <w:szCs w:val="24"/>
                </w:rPr>
                <w:t>http://www.sterlitamakadm.ru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75" w:history="1">
              <w:r>
                <w:rPr>
                  <w:sz w:val="24"/>
                  <w:szCs w:val="24"/>
                </w:rPr>
                <w:t>Администрация ГО г. Уфа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76" w:history="1">
              <w:r>
                <w:rPr>
                  <w:sz w:val="24"/>
                  <w:szCs w:val="24"/>
                </w:rPr>
                <w:t>http://www.ufacity.info</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77" w:history="1">
              <w:r>
                <w:rPr>
                  <w:sz w:val="24"/>
                  <w:szCs w:val="24"/>
                </w:rPr>
                <w:t>Администрация ЗАТО Межгорье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78" w:history="1">
              <w:r>
                <w:rPr>
                  <w:sz w:val="24"/>
                  <w:szCs w:val="24"/>
                </w:rPr>
                <w:t>http://mezhgorie.ru/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79" w:history="1">
              <w:r>
                <w:rPr>
                  <w:sz w:val="24"/>
                  <w:szCs w:val="24"/>
                </w:rPr>
                <w:t>МР Абзелиловский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80" w:history="1">
              <w:r>
                <w:rPr>
                  <w:sz w:val="24"/>
                  <w:szCs w:val="24"/>
                </w:rPr>
                <w:t>http://www.abyalil.ru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81" w:history="1">
              <w:r>
                <w:rPr>
                  <w:sz w:val="24"/>
                  <w:szCs w:val="24"/>
                </w:rPr>
                <w:t>МР Альшеевский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82" w:history="1">
              <w:r>
                <w:rPr>
                  <w:sz w:val="24"/>
                  <w:szCs w:val="24"/>
                </w:rPr>
                <w:t>https://alshei.bashkortostan.ru/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83" w:history="1">
              <w:r>
                <w:rPr>
                  <w:sz w:val="24"/>
                  <w:szCs w:val="24"/>
                </w:rPr>
                <w:t>МР Архангельский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84" w:history="1">
              <w:r>
                <w:rPr>
                  <w:sz w:val="24"/>
                  <w:szCs w:val="24"/>
                </w:rPr>
                <w:t>https://arhangel.bashkortostan.ru/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85" w:history="1">
              <w:r>
                <w:rPr>
                  <w:sz w:val="24"/>
                  <w:szCs w:val="24"/>
                </w:rPr>
                <w:t>МР Аскинский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86" w:history="1">
              <w:r>
                <w:rPr>
                  <w:sz w:val="24"/>
                  <w:szCs w:val="24"/>
                </w:rPr>
                <w:t>https://askino.bashkortostan.ru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87" w:history="1">
              <w:r>
                <w:rPr>
                  <w:sz w:val="24"/>
                  <w:szCs w:val="24"/>
                </w:rPr>
                <w:t>МР Аургазинский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88" w:history="1">
              <w:r>
                <w:rPr>
                  <w:sz w:val="24"/>
                  <w:szCs w:val="24"/>
                </w:rPr>
                <w:t>https://aurgazy.bashkortostan.ru/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89" w:history="1">
              <w:r>
                <w:rPr>
                  <w:sz w:val="24"/>
                  <w:szCs w:val="24"/>
                </w:rPr>
                <w:t>МР Баймакский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90" w:history="1">
              <w:r>
                <w:rPr>
                  <w:sz w:val="24"/>
                  <w:szCs w:val="24"/>
                </w:rPr>
                <w:t>https://baimak.bashkortostan.ru/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91" w:history="1">
              <w:r>
                <w:rPr>
                  <w:sz w:val="24"/>
                  <w:szCs w:val="24"/>
                </w:rPr>
                <w:t>МР Бакалинский</w:t>
              </w:r>
              <w:r>
                <w:rPr>
                  <w:sz w:val="24"/>
                  <w:szCs w:val="24"/>
                </w:rPr>
                <w:t xml:space="preserve">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92" w:history="1">
              <w:r>
                <w:rPr>
                  <w:sz w:val="24"/>
                  <w:szCs w:val="24"/>
                </w:rPr>
                <w:t>https://bakaly.bashkortostan.ru/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93" w:history="1">
              <w:r>
                <w:rPr>
                  <w:sz w:val="24"/>
                  <w:szCs w:val="24"/>
                </w:rPr>
                <w:t>МР Балтачевский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94" w:history="1">
              <w:r>
                <w:rPr>
                  <w:sz w:val="24"/>
                  <w:szCs w:val="24"/>
                </w:rPr>
                <w:t>https://baltachevo.bashkortostan.ru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95" w:history="1">
              <w:r>
                <w:rPr>
                  <w:sz w:val="24"/>
                  <w:szCs w:val="24"/>
                </w:rPr>
                <w:t>МР Белебеевский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96" w:history="1">
              <w:r>
                <w:rPr>
                  <w:sz w:val="24"/>
                  <w:szCs w:val="24"/>
                </w:rPr>
                <w:t>http://www.belebey-mr.ru/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97" w:history="1">
              <w:r>
                <w:rPr>
                  <w:sz w:val="24"/>
                  <w:szCs w:val="24"/>
                </w:rPr>
                <w:t>МР Белокатайский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98" w:history="1">
              <w:r>
                <w:rPr>
                  <w:sz w:val="24"/>
                  <w:szCs w:val="24"/>
                </w:rPr>
                <w:t>https://belokatai.bashkortostan.ru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99" w:history="1">
              <w:r>
                <w:rPr>
                  <w:sz w:val="24"/>
                  <w:szCs w:val="24"/>
                </w:rPr>
                <w:t>МР Белорецкий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00" w:history="1">
              <w:r>
                <w:rPr>
                  <w:sz w:val="24"/>
                  <w:szCs w:val="24"/>
                </w:rPr>
                <w:t>https://beloretsk.bashkortostan.ru/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01" w:history="1">
              <w:r>
                <w:rPr>
                  <w:sz w:val="24"/>
                  <w:szCs w:val="24"/>
                </w:rPr>
                <w:t>МР Бижбулякский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02" w:history="1">
              <w:r>
                <w:rPr>
                  <w:sz w:val="24"/>
                  <w:szCs w:val="24"/>
                </w:rPr>
                <w:t>https://bizhbulyak.bashkortostan.ru/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03" w:history="1">
              <w:r>
                <w:rPr>
                  <w:sz w:val="24"/>
                  <w:szCs w:val="24"/>
                </w:rPr>
                <w:t>МР Бирский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04" w:history="1">
              <w:r>
                <w:rPr>
                  <w:sz w:val="24"/>
                  <w:szCs w:val="24"/>
                </w:rPr>
                <w:t>https://birsk.bashkortostan.ru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05" w:history="1">
              <w:r>
                <w:rPr>
                  <w:sz w:val="24"/>
                  <w:szCs w:val="24"/>
                </w:rPr>
                <w:t>МР Благоварский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06" w:history="1">
              <w:r>
                <w:rPr>
                  <w:sz w:val="24"/>
                  <w:szCs w:val="24"/>
                </w:rPr>
                <w:t>https://blagovar.bashkortostan.ru/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07" w:history="1">
              <w:r>
                <w:rPr>
                  <w:sz w:val="24"/>
                  <w:szCs w:val="24"/>
                </w:rPr>
                <w:t>МР Благовещенский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08" w:history="1">
              <w:r>
                <w:rPr>
                  <w:sz w:val="24"/>
                  <w:szCs w:val="24"/>
                </w:rPr>
                <w:t>https://blagoveshensk.bashkortostan.ru/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09" w:history="1">
              <w:r>
                <w:rPr>
                  <w:sz w:val="24"/>
                  <w:szCs w:val="24"/>
                </w:rPr>
                <w:t>МР Буздякский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10" w:history="1">
              <w:r>
                <w:rPr>
                  <w:sz w:val="24"/>
                  <w:szCs w:val="24"/>
                </w:rPr>
                <w:t>https://buzdyak.bashkortostan.ru/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11" w:history="1">
              <w:r>
                <w:rPr>
                  <w:sz w:val="24"/>
                  <w:szCs w:val="24"/>
                </w:rPr>
                <w:t>МР Бураевский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12" w:history="1">
              <w:r>
                <w:rPr>
                  <w:sz w:val="24"/>
                  <w:szCs w:val="24"/>
                </w:rPr>
                <w:t>https://buraevo.bashkortostan.ru/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13" w:history="1">
              <w:r>
                <w:rPr>
                  <w:sz w:val="24"/>
                  <w:szCs w:val="24"/>
                </w:rPr>
                <w:t>МР Бурзянский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14" w:history="1">
              <w:r>
                <w:rPr>
                  <w:sz w:val="24"/>
                  <w:szCs w:val="24"/>
                </w:rPr>
                <w:t>https://burzyan.bashkortostan.ru/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15" w:history="1">
              <w:r>
                <w:rPr>
                  <w:sz w:val="24"/>
                  <w:szCs w:val="24"/>
                </w:rPr>
                <w:t>МР Гафурийский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16" w:history="1">
              <w:r>
                <w:rPr>
                  <w:sz w:val="24"/>
                  <w:szCs w:val="24"/>
                </w:rPr>
                <w:t>https://gafury.bashkortostan.ru/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17" w:history="1">
              <w:r>
                <w:rPr>
                  <w:sz w:val="24"/>
                  <w:szCs w:val="24"/>
                </w:rPr>
                <w:t>МР Давлекановский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18" w:history="1">
              <w:r>
                <w:rPr>
                  <w:sz w:val="24"/>
                  <w:szCs w:val="24"/>
                </w:rPr>
                <w:t>https://davlekanovo.bashkortostan.ru/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19" w:history="1">
              <w:r>
                <w:rPr>
                  <w:sz w:val="24"/>
                  <w:szCs w:val="24"/>
                </w:rPr>
                <w:t>МР Дуванский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20" w:history="1">
              <w:r>
                <w:rPr>
                  <w:sz w:val="24"/>
                  <w:szCs w:val="24"/>
                </w:rPr>
                <w:t>https://duvan.bashkortostan.ru/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21" w:history="1">
              <w:r>
                <w:rPr>
                  <w:sz w:val="24"/>
                  <w:szCs w:val="24"/>
                </w:rPr>
                <w:t>МР Дюртюлинский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22" w:history="1">
              <w:r>
                <w:rPr>
                  <w:sz w:val="24"/>
                  <w:szCs w:val="24"/>
                </w:rPr>
                <w:t>https://durtuli.bashkortostan.ru/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23" w:history="1">
              <w:r>
                <w:rPr>
                  <w:sz w:val="24"/>
                  <w:szCs w:val="24"/>
                </w:rPr>
                <w:t>МР Ермекеевский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24" w:history="1">
              <w:r>
                <w:rPr>
                  <w:sz w:val="24"/>
                  <w:szCs w:val="24"/>
                </w:rPr>
                <w:t>https://ermekeevo.bashkortostan.ru/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25" w:history="1">
              <w:r>
                <w:rPr>
                  <w:sz w:val="24"/>
                  <w:szCs w:val="24"/>
                </w:rPr>
                <w:t>МР Зианчуринский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26" w:history="1">
              <w:r>
                <w:rPr>
                  <w:sz w:val="24"/>
                  <w:szCs w:val="24"/>
                </w:rPr>
                <w:t>https://zianchura.bashkortostan.ru/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27" w:history="1">
              <w:r>
                <w:rPr>
                  <w:sz w:val="24"/>
                  <w:szCs w:val="24"/>
                </w:rPr>
                <w:t>МР Зилаирский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28" w:history="1">
              <w:r>
                <w:rPr>
                  <w:sz w:val="24"/>
                  <w:szCs w:val="24"/>
                </w:rPr>
                <w:t>https://zilair.bashkortostan.ru/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29" w:history="1">
              <w:r>
                <w:rPr>
                  <w:sz w:val="24"/>
                  <w:szCs w:val="24"/>
                </w:rPr>
                <w:t>МР Иглинский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30" w:history="1">
              <w:r>
                <w:rPr>
                  <w:sz w:val="24"/>
                  <w:szCs w:val="24"/>
                </w:rPr>
                <w:t>https://iglino.bashkortostan.ru/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31" w:history="1">
              <w:r>
                <w:rPr>
                  <w:sz w:val="24"/>
                  <w:szCs w:val="24"/>
                </w:rPr>
                <w:t xml:space="preserve">МР </w:t>
              </w:r>
              <w:r>
                <w:rPr>
                  <w:sz w:val="24"/>
                  <w:szCs w:val="24"/>
                </w:rPr>
                <w:t>Илишевский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32" w:history="1">
              <w:r>
                <w:rPr>
                  <w:sz w:val="24"/>
                  <w:szCs w:val="24"/>
                </w:rPr>
                <w:t>https://ilesh.bashkortostan.ru/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33" w:history="1">
              <w:r>
                <w:rPr>
                  <w:sz w:val="24"/>
                  <w:szCs w:val="24"/>
                </w:rPr>
                <w:t>МР Ишимбайский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34" w:history="1">
              <w:r>
                <w:rPr>
                  <w:sz w:val="24"/>
                  <w:szCs w:val="24"/>
                </w:rPr>
                <w:t>https://ishimbaimr.bas</w:t>
              </w:r>
              <w:r>
                <w:rPr>
                  <w:sz w:val="24"/>
                  <w:szCs w:val="24"/>
                </w:rPr>
                <w:t>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35" w:history="1">
              <w:r>
                <w:rPr>
                  <w:sz w:val="24"/>
                  <w:szCs w:val="24"/>
                </w:rPr>
                <w:t>МР Калтасинский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36" w:history="1">
              <w:r>
                <w:rPr>
                  <w:sz w:val="24"/>
                  <w:szCs w:val="24"/>
                </w:rPr>
                <w:t>https://kaltasin.bashkortostan.ru/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37" w:history="1">
              <w:r>
                <w:rPr>
                  <w:sz w:val="24"/>
                  <w:szCs w:val="24"/>
                </w:rPr>
                <w:t xml:space="preserve">МР Караидельский район </w:t>
              </w:r>
              <w:r>
                <w:rPr>
                  <w:sz w:val="24"/>
                  <w:szCs w:val="24"/>
                </w:rPr>
                <w:t>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38" w:history="1">
              <w:r>
                <w:rPr>
                  <w:sz w:val="24"/>
                  <w:szCs w:val="24"/>
                </w:rPr>
                <w:t>https://karaidel.bashkortostan.ru/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39" w:history="1">
              <w:r>
                <w:rPr>
                  <w:sz w:val="24"/>
                  <w:szCs w:val="24"/>
                </w:rPr>
                <w:t>МР Кармаскалинский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40" w:history="1">
              <w:r>
                <w:rPr>
                  <w:sz w:val="24"/>
                  <w:szCs w:val="24"/>
                </w:rPr>
                <w:t>https://admkarm.bashkortostan.ru/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41" w:history="1">
              <w:r>
                <w:rPr>
                  <w:sz w:val="24"/>
                  <w:szCs w:val="24"/>
                </w:rPr>
                <w:t>МР Кигинский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42" w:history="1">
              <w:r>
                <w:rPr>
                  <w:sz w:val="24"/>
                  <w:szCs w:val="24"/>
                </w:rPr>
                <w:t>https://kigi.bashkortostan.ru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43" w:history="1">
              <w:r>
                <w:rPr>
                  <w:sz w:val="24"/>
                  <w:szCs w:val="24"/>
                </w:rPr>
                <w:t>МР Краснокамский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44" w:history="1">
              <w:r>
                <w:rPr>
                  <w:sz w:val="24"/>
                  <w:szCs w:val="24"/>
                </w:rPr>
                <w:t>https://krasnokama.bashkortostan.ru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45" w:history="1">
              <w:r>
                <w:rPr>
                  <w:sz w:val="24"/>
                  <w:szCs w:val="24"/>
                </w:rPr>
                <w:t>МР Кугарчинский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46" w:history="1">
              <w:r>
                <w:rPr>
                  <w:sz w:val="24"/>
                  <w:szCs w:val="24"/>
                </w:rPr>
                <w:t>https://admkugarchi.bashkortostan.ru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47" w:history="1">
              <w:r>
                <w:rPr>
                  <w:sz w:val="24"/>
                  <w:szCs w:val="24"/>
                </w:rPr>
                <w:t>МР Кушнаренковский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48" w:history="1">
              <w:r>
                <w:rPr>
                  <w:sz w:val="24"/>
                  <w:szCs w:val="24"/>
                </w:rPr>
                <w:t>https://kushnarenkovo.bashkortostan.ru/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49" w:history="1">
              <w:r>
                <w:rPr>
                  <w:sz w:val="24"/>
                  <w:szCs w:val="24"/>
                </w:rPr>
                <w:t>МР Куюргазинский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50" w:history="1">
              <w:r>
                <w:rPr>
                  <w:sz w:val="24"/>
                  <w:szCs w:val="24"/>
                </w:rPr>
                <w:t>https://kuyurgaza.bashkortostan.ru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51" w:history="1">
              <w:r>
                <w:rPr>
                  <w:sz w:val="24"/>
                  <w:szCs w:val="24"/>
                </w:rPr>
                <w:t>МР Мелеузовский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52" w:history="1">
              <w:r>
                <w:rPr>
                  <w:sz w:val="24"/>
                  <w:szCs w:val="24"/>
                </w:rPr>
                <w:t>https://meleuz.bashkortostan.ru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53" w:history="1">
              <w:r>
                <w:rPr>
                  <w:sz w:val="24"/>
                  <w:szCs w:val="24"/>
                </w:rPr>
                <w:t>МР Мечетлинский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54" w:history="1">
              <w:r>
                <w:rPr>
                  <w:sz w:val="24"/>
                  <w:szCs w:val="24"/>
                </w:rPr>
                <w:t>https://mechetly.bashkortostan.ru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55" w:history="1">
              <w:r>
                <w:rPr>
                  <w:sz w:val="24"/>
                  <w:szCs w:val="24"/>
                </w:rPr>
                <w:t>МР Мишкинский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56" w:history="1">
              <w:r>
                <w:rPr>
                  <w:sz w:val="24"/>
                  <w:szCs w:val="24"/>
                </w:rPr>
                <w:t>https://mishkan.bashkortostan.ru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57" w:history="1">
              <w:r>
                <w:rPr>
                  <w:sz w:val="24"/>
                  <w:szCs w:val="24"/>
                </w:rPr>
                <w:t>МР Миякинский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58" w:history="1">
              <w:r>
                <w:rPr>
                  <w:sz w:val="24"/>
                  <w:szCs w:val="24"/>
                </w:rPr>
                <w:t>https://miyaki.bashkortostan.ru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59" w:history="1">
              <w:r>
                <w:rPr>
                  <w:sz w:val="24"/>
                  <w:szCs w:val="24"/>
                </w:rPr>
                <w:t>МР Нуримановский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60" w:history="1">
              <w:r>
                <w:rPr>
                  <w:sz w:val="24"/>
                  <w:szCs w:val="24"/>
                </w:rPr>
                <w:t>https://nuriman.bashkortostan.ru/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61" w:history="1">
              <w:r>
                <w:rPr>
                  <w:sz w:val="24"/>
                  <w:szCs w:val="24"/>
                </w:rPr>
                <w:t>МР Салаватский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62" w:history="1">
              <w:r>
                <w:rPr>
                  <w:sz w:val="24"/>
                  <w:szCs w:val="24"/>
                </w:rPr>
                <w:t>https://admmaloyaz.bashkortostan.ru/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63" w:history="1">
              <w:r>
                <w:rPr>
                  <w:sz w:val="24"/>
                  <w:szCs w:val="24"/>
                </w:rPr>
                <w:t>МР Стерлибашевский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64" w:history="1">
              <w:r>
                <w:rPr>
                  <w:sz w:val="24"/>
                  <w:szCs w:val="24"/>
                </w:rPr>
                <w:t>https://sterlibash.bashkortost</w:t>
              </w:r>
              <w:r>
                <w:rPr>
                  <w:sz w:val="24"/>
                  <w:szCs w:val="24"/>
                </w:rPr>
                <w: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65" w:history="1">
              <w:r>
                <w:rPr>
                  <w:sz w:val="24"/>
                  <w:szCs w:val="24"/>
                </w:rPr>
                <w:t>МР Стерлитамакский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66" w:history="1">
              <w:r>
                <w:rPr>
                  <w:sz w:val="24"/>
                  <w:szCs w:val="24"/>
                </w:rPr>
                <w:t>http://www.str-raion.ru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67" w:history="1">
              <w:r>
                <w:rPr>
                  <w:sz w:val="24"/>
                  <w:szCs w:val="24"/>
                </w:rPr>
                <w:t>МР Татышлинский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68" w:history="1">
              <w:r>
                <w:rPr>
                  <w:sz w:val="24"/>
                  <w:szCs w:val="24"/>
                </w:rPr>
                <w:t>https://tatyshlinski.bashkortostan.ru/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69" w:history="1">
              <w:r>
                <w:rPr>
                  <w:sz w:val="24"/>
                  <w:szCs w:val="24"/>
                </w:rPr>
                <w:t>МР Туймазинский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70" w:history="1">
              <w:r>
                <w:rPr>
                  <w:sz w:val="24"/>
                  <w:szCs w:val="24"/>
                </w:rPr>
                <w:t>https://tuimazy.bashkortostan.ru/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71" w:history="1">
              <w:r>
                <w:rPr>
                  <w:sz w:val="24"/>
                  <w:szCs w:val="24"/>
                </w:rPr>
                <w:t>МР Уфимский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72" w:history="1">
              <w:r>
                <w:rPr>
                  <w:sz w:val="24"/>
                  <w:szCs w:val="24"/>
                </w:rPr>
                <w:t>https://ufim.bashkortostan.ru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73" w:history="1">
              <w:r>
                <w:rPr>
                  <w:sz w:val="24"/>
                  <w:szCs w:val="24"/>
                </w:rPr>
                <w:t>МР Учалинский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74" w:history="1">
              <w:r>
                <w:rPr>
                  <w:sz w:val="24"/>
                  <w:szCs w:val="24"/>
                </w:rPr>
                <w:t>https://uchaly.bashkortostan.ru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75" w:history="1">
              <w:r>
                <w:rPr>
                  <w:sz w:val="24"/>
                  <w:szCs w:val="24"/>
                </w:rPr>
                <w:t>МР Федоровский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76" w:history="1">
              <w:r>
                <w:rPr>
                  <w:sz w:val="24"/>
                  <w:szCs w:val="24"/>
                </w:rPr>
                <w:t>https://fedorovka.bashkortostan.ru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77" w:history="1">
              <w:r>
                <w:rPr>
                  <w:sz w:val="24"/>
                  <w:szCs w:val="24"/>
                </w:rPr>
                <w:t>МР Хайбуллинский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78" w:history="1">
              <w:r>
                <w:rPr>
                  <w:sz w:val="24"/>
                  <w:szCs w:val="24"/>
                </w:rPr>
                <w:t>https://haibulla.bashkortostan.ru/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79" w:history="1">
              <w:r>
                <w:rPr>
                  <w:sz w:val="24"/>
                  <w:szCs w:val="24"/>
                </w:rPr>
                <w:t>МР Чекмагушевский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80" w:history="1">
              <w:r>
                <w:rPr>
                  <w:sz w:val="24"/>
                  <w:szCs w:val="24"/>
                </w:rPr>
                <w:t>https://chekmagush.bashkortostan.ru/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81" w:history="1">
              <w:r>
                <w:rPr>
                  <w:sz w:val="24"/>
                  <w:szCs w:val="24"/>
                </w:rPr>
                <w:t>МР Чишминский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82" w:history="1">
              <w:r>
                <w:rPr>
                  <w:sz w:val="24"/>
                  <w:szCs w:val="24"/>
                </w:rPr>
                <w:t>https://chishmy.bashkortostan.ru/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83" w:history="1">
              <w:r>
                <w:rPr>
                  <w:sz w:val="24"/>
                  <w:szCs w:val="24"/>
                </w:rPr>
                <w:t>МР Шаранский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84" w:history="1">
              <w:r>
                <w:rPr>
                  <w:sz w:val="24"/>
                  <w:szCs w:val="24"/>
                </w:rPr>
                <w:t>https://sharan.bashkortostan.ru/</w:t>
              </w:r>
            </w:hyperlink>
          </w:p>
        </w:tc>
      </w:tr>
      <w:tr w:rsidR="00E85D42">
        <w:tblPrEx>
          <w:tblCellMar>
            <w:top w:w="0" w:type="dxa"/>
            <w:bottom w:w="0" w:type="dxa"/>
          </w:tblCellMar>
        </w:tblPrEx>
        <w:trPr>
          <w:trHeight w:val="300"/>
        </w:trPr>
        <w:tc>
          <w:tcPr>
            <w:tcW w:w="507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pPr>
              <w:ind w:firstLine="33"/>
            </w:pPr>
            <w:hyperlink r:id="rId185" w:history="1">
              <w:r>
                <w:rPr>
                  <w:sz w:val="24"/>
                  <w:szCs w:val="24"/>
                </w:rPr>
                <w:t>МР Янаульский район РБ</w:t>
              </w:r>
            </w:hyperlink>
          </w:p>
        </w:tc>
        <w:tc>
          <w:tcPr>
            <w:tcW w:w="449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E85D42" w:rsidRDefault="008113B9">
            <w:hyperlink r:id="rId186" w:history="1">
              <w:r>
                <w:rPr>
                  <w:sz w:val="24"/>
                  <w:szCs w:val="24"/>
                </w:rPr>
                <w:t>https://yanaul.bashkortostan.ru/</w:t>
              </w:r>
            </w:hyperlink>
          </w:p>
        </w:tc>
      </w:tr>
    </w:tbl>
    <w:p w:rsidR="00E85D42" w:rsidRDefault="008113B9">
      <w:pPr>
        <w:ind w:firstLine="708"/>
        <w:jc w:val="both"/>
        <w:rPr>
          <w:sz w:val="24"/>
        </w:rPr>
      </w:pPr>
      <w:r>
        <w:rPr>
          <w:sz w:val="24"/>
        </w:rPr>
        <w:t xml:space="preserve">Указанный список документов, которые использовались при определении кадастровой стоимости объектов недвижимости, не является закрытым. При использовании в настоящем Отчете в расчетах или иным способом </w:t>
      </w:r>
      <w:r>
        <w:rPr>
          <w:sz w:val="24"/>
        </w:rPr>
        <w:t>иных документов, данные источники информации сопровождаются ссылками на источник их получения в самом тексте Отчета.</w:t>
      </w:r>
    </w:p>
    <w:p w:rsidR="00E85D42" w:rsidRDefault="00E85D42">
      <w:pPr>
        <w:ind w:firstLine="708"/>
        <w:jc w:val="both"/>
        <w:rPr>
          <w:sz w:val="24"/>
        </w:rPr>
      </w:pPr>
    </w:p>
    <w:p w:rsidR="00E85D42" w:rsidRDefault="008113B9">
      <w:pPr>
        <w:pStyle w:val="ab"/>
        <w:keepNext/>
        <w:numPr>
          <w:ilvl w:val="1"/>
          <w:numId w:val="17"/>
        </w:numPr>
        <w:ind w:left="0" w:firstLine="0"/>
        <w:jc w:val="center"/>
        <w:rPr>
          <w:b/>
          <w:sz w:val="24"/>
        </w:rPr>
      </w:pPr>
      <w:bookmarkStart w:id="87" w:name="_Toc11934883"/>
      <w:r>
        <w:rPr>
          <w:b/>
          <w:sz w:val="24"/>
        </w:rPr>
        <w:t>Схема организации проведения работ по определению кадастровой стоимости и их описание</w:t>
      </w:r>
      <w:bookmarkEnd w:id="87"/>
    </w:p>
    <w:p w:rsidR="00E85D42" w:rsidRDefault="00E85D42">
      <w:pPr>
        <w:autoSpaceDE w:val="0"/>
        <w:jc w:val="center"/>
        <w:rPr>
          <w:rFonts w:ascii="Times New Roman CYR" w:hAnsi="Times New Roman CYR" w:cs="Times New Roman CYR"/>
          <w:b/>
          <w:bCs/>
          <w:color w:val="000000"/>
        </w:rPr>
      </w:pPr>
    </w:p>
    <w:tbl>
      <w:tblPr>
        <w:tblW w:w="5670" w:type="dxa"/>
        <w:jc w:val="center"/>
        <w:tblCellMar>
          <w:left w:w="10" w:type="dxa"/>
          <w:right w:w="10" w:type="dxa"/>
        </w:tblCellMar>
        <w:tblLook w:val="04A0" w:firstRow="1" w:lastRow="0" w:firstColumn="1" w:lastColumn="0" w:noHBand="0" w:noVBand="1"/>
      </w:tblPr>
      <w:tblGrid>
        <w:gridCol w:w="5670"/>
      </w:tblGrid>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 xml:space="preserve">Этап I. Принятие решения о проведении </w:t>
            </w:r>
            <w:r>
              <w:rPr>
                <w:b/>
                <w:color w:val="000000"/>
                <w:sz w:val="18"/>
                <w:szCs w:val="18"/>
              </w:rPr>
              <w:t>государственной кадастровой оценки</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41856" behindDoc="0" locked="0" layoutInCell="1" allowOverlap="1">
                      <wp:simplePos x="0" y="0"/>
                      <wp:positionH relativeFrom="column">
                        <wp:posOffset>1717672</wp:posOffset>
                      </wp:positionH>
                      <wp:positionV relativeFrom="paragraph">
                        <wp:posOffset>13972</wp:posOffset>
                      </wp:positionV>
                      <wp:extent cx="101598" cy="96524"/>
                      <wp:effectExtent l="0" t="0" r="12702" b="17776"/>
                      <wp:wrapNone/>
                      <wp:docPr id="2" name="Стрелка вниз 30"/>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560AB718" id="Стрелка вниз 30" o:spid="_x0000_s1026" style="position:absolute;margin-left:135.25pt;margin-top:1.1pt;width:8pt;height:7.6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Этап II. Подготовка к проведению государственной кадастровой оценки</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44928" behindDoc="0" locked="0" layoutInCell="1" allowOverlap="1">
                      <wp:simplePos x="0" y="0"/>
                      <wp:positionH relativeFrom="column">
                        <wp:posOffset>1715130</wp:posOffset>
                      </wp:positionH>
                      <wp:positionV relativeFrom="paragraph">
                        <wp:posOffset>-630</wp:posOffset>
                      </wp:positionV>
                      <wp:extent cx="101598" cy="96524"/>
                      <wp:effectExtent l="0" t="0" r="12702" b="17776"/>
                      <wp:wrapNone/>
                      <wp:docPr id="3" name="Стрелка вниз 2"/>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4C4648E4" id="Стрелка вниз 2" o:spid="_x0000_s1026" style="position:absolute;margin-left:135.05pt;margin-top:-.05pt;width:8pt;height:7.6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Этап III. Формирование и обработка перечня объектов недвижимости, подлежащих государственной кадастровой оценке</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48000" behindDoc="0" locked="0" layoutInCell="1" allowOverlap="1">
                      <wp:simplePos x="0" y="0"/>
                      <wp:positionH relativeFrom="column">
                        <wp:posOffset>1719584</wp:posOffset>
                      </wp:positionH>
                      <wp:positionV relativeFrom="paragraph">
                        <wp:posOffset>20958</wp:posOffset>
                      </wp:positionV>
                      <wp:extent cx="101598" cy="96524"/>
                      <wp:effectExtent l="0" t="0" r="12702" b="17776"/>
                      <wp:wrapNone/>
                      <wp:docPr id="4" name="Стрелка вниз 4"/>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73D8CC6B" id="Стрелка вниз 4" o:spid="_x0000_s1026" style="position:absolute;margin-left:135.4pt;margin-top:1.65pt;width:8pt;height:7.6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 xml:space="preserve">Этап IV. Сбор и анализ </w:t>
            </w:r>
            <w:r>
              <w:rPr>
                <w:b/>
                <w:color w:val="000000"/>
                <w:sz w:val="18"/>
                <w:szCs w:val="18"/>
              </w:rPr>
              <w:t>информации о рынке объектов недвижимости</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51072" behindDoc="0" locked="0" layoutInCell="1" allowOverlap="1">
                      <wp:simplePos x="0" y="0"/>
                      <wp:positionH relativeFrom="column">
                        <wp:posOffset>1718313</wp:posOffset>
                      </wp:positionH>
                      <wp:positionV relativeFrom="paragraph">
                        <wp:posOffset>15243</wp:posOffset>
                      </wp:positionV>
                      <wp:extent cx="101598" cy="96524"/>
                      <wp:effectExtent l="0" t="0" r="12702" b="17776"/>
                      <wp:wrapNone/>
                      <wp:docPr id="5" name="Стрелка вниз 31"/>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777458F2" id="Стрелка вниз 31" o:spid="_x0000_s1026" style="position:absolute;margin-left:135.3pt;margin-top:1.2pt;width:8pt;height:7.6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Этап V. Сбор сведений о значениях ценообразующих факторов</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53120" behindDoc="0" locked="0" layoutInCell="1" allowOverlap="1">
                      <wp:simplePos x="0" y="0"/>
                      <wp:positionH relativeFrom="column">
                        <wp:posOffset>1717042</wp:posOffset>
                      </wp:positionH>
                      <wp:positionV relativeFrom="paragraph">
                        <wp:posOffset>16514</wp:posOffset>
                      </wp:positionV>
                      <wp:extent cx="101598" cy="96524"/>
                      <wp:effectExtent l="0" t="0" r="12702" b="17776"/>
                      <wp:wrapNone/>
                      <wp:docPr id="6" name="Стрелка вниз 34"/>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116A6EF3" id="Стрелка вниз 34" o:spid="_x0000_s1026" style="position:absolute;margin-left:135.2pt;margin-top:1.3pt;width:8pt;height:7.6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Этап VI. Определение кадастровой стоимости объектов оценки</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57216" behindDoc="0" locked="0" layoutInCell="1" allowOverlap="1">
                      <wp:simplePos x="0" y="0"/>
                      <wp:positionH relativeFrom="column">
                        <wp:posOffset>1715771</wp:posOffset>
                      </wp:positionH>
                      <wp:positionV relativeFrom="paragraph">
                        <wp:posOffset>2542</wp:posOffset>
                      </wp:positionV>
                      <wp:extent cx="101598" cy="96524"/>
                      <wp:effectExtent l="0" t="0" r="12702" b="17776"/>
                      <wp:wrapNone/>
                      <wp:docPr id="7" name="Стрелка вниз 56"/>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3FB463C0" id="Стрелка вниз 56" o:spid="_x0000_s1026" style="position:absolute;margin-left:135.1pt;margin-top:.2pt;width:8pt;height:7.6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Этап VII. Составление промежуточных расчетных документов</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60288" behindDoc="0" locked="0" layoutInCell="1" allowOverlap="1">
                      <wp:simplePos x="0" y="0"/>
                      <wp:positionH relativeFrom="column">
                        <wp:posOffset>1715771</wp:posOffset>
                      </wp:positionH>
                      <wp:positionV relativeFrom="paragraph">
                        <wp:posOffset>13972</wp:posOffset>
                      </wp:positionV>
                      <wp:extent cx="101598" cy="96524"/>
                      <wp:effectExtent l="0" t="0" r="12702" b="17776"/>
                      <wp:wrapNone/>
                      <wp:docPr id="8" name="Стрелка вниз 57"/>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548A5AFE" id="Стрелка вниз 57" o:spid="_x0000_s1026" style="position:absolute;margin-left:135.1pt;margin-top:1.1pt;width:8pt;height:7.6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 xml:space="preserve">Этап VIII. Проверка </w:t>
            </w:r>
            <w:r>
              <w:rPr>
                <w:b/>
                <w:color w:val="000000"/>
                <w:sz w:val="18"/>
                <w:szCs w:val="18"/>
              </w:rPr>
              <w:t>промежуточного отчета и устранение выявленных несоответствий требованиям к отчету</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63360" behindDoc="0" locked="0" layoutInCell="1" allowOverlap="1">
                      <wp:simplePos x="0" y="0"/>
                      <wp:positionH relativeFrom="column">
                        <wp:posOffset>1715771</wp:posOffset>
                      </wp:positionH>
                      <wp:positionV relativeFrom="paragraph">
                        <wp:posOffset>8257</wp:posOffset>
                      </wp:positionV>
                      <wp:extent cx="101598" cy="96524"/>
                      <wp:effectExtent l="0" t="0" r="12702" b="17776"/>
                      <wp:wrapNone/>
                      <wp:docPr id="9" name="Стрелка вниз 58"/>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0237CC34" id="Стрелка вниз 58" o:spid="_x0000_s1026" style="position:absolute;margin-left:135.1pt;margin-top:.65pt;width:8pt;height:7.6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Этап IX. Размещение в фонде данных государственной кадастровой оценки промежуточного отчета для представления замечаний, связанных с определением кадастровой стоимости</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69504" behindDoc="0" locked="0" layoutInCell="1" allowOverlap="1">
                      <wp:simplePos x="0" y="0"/>
                      <wp:positionH relativeFrom="column">
                        <wp:posOffset>1720845</wp:posOffset>
                      </wp:positionH>
                      <wp:positionV relativeFrom="paragraph">
                        <wp:posOffset>-2542</wp:posOffset>
                      </wp:positionV>
                      <wp:extent cx="101598" cy="96524"/>
                      <wp:effectExtent l="0" t="0" r="12702" b="17776"/>
                      <wp:wrapNone/>
                      <wp:docPr id="10" name="Стрелка вниз 59"/>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53A880DA" id="Стрелка вниз 59" o:spid="_x0000_s1026" style="position:absolute;margin-left:135.5pt;margin-top:-.2pt;width:8pt;height:7.6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Этап X. Рассмотрение замечаний и внесение исправлений в промежуточные отчетные документы</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72576" behindDoc="0" locked="0" layoutInCell="1" allowOverlap="1">
                      <wp:simplePos x="0" y="0"/>
                      <wp:positionH relativeFrom="column">
                        <wp:posOffset>1715771</wp:posOffset>
                      </wp:positionH>
                      <wp:positionV relativeFrom="paragraph">
                        <wp:posOffset>3172</wp:posOffset>
                      </wp:positionV>
                      <wp:extent cx="101598" cy="96524"/>
                      <wp:effectExtent l="0" t="0" r="12702" b="17776"/>
                      <wp:wrapNone/>
                      <wp:docPr id="11" name="Стрелка вниз 65"/>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67746DAE" id="Стрелка вниз 65" o:spid="_x0000_s1026" style="position:absolute;margin-left:135.1pt;margin-top:.25pt;width:8pt;height:7.6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Этап XI. Составление итогового отчета о государственной кадастровой оценке</w:t>
            </w:r>
          </w:p>
        </w:tc>
      </w:tr>
      <w:tr w:rsidR="00E85D42">
        <w:tblPrEx>
          <w:tblCellMar>
            <w:top w:w="0" w:type="dxa"/>
            <w:bottom w:w="0" w:type="dxa"/>
          </w:tblCellMar>
        </w:tblPrEx>
        <w:trPr>
          <w:jc w:val="center"/>
        </w:trPr>
        <w:tc>
          <w:tcPr>
            <w:tcW w:w="567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pPr>
            <w:r>
              <w:rPr>
                <w:b/>
                <w:noProof/>
                <w:color w:val="000000"/>
                <w:sz w:val="18"/>
                <w:szCs w:val="18"/>
              </w:rPr>
              <mc:AlternateContent>
                <mc:Choice Requires="wps">
                  <w:drawing>
                    <wp:anchor distT="0" distB="0" distL="114300" distR="114300" simplePos="0" relativeHeight="251675648" behindDoc="0" locked="0" layoutInCell="1" allowOverlap="1">
                      <wp:simplePos x="0" y="0"/>
                      <wp:positionH relativeFrom="column">
                        <wp:posOffset>1714500</wp:posOffset>
                      </wp:positionH>
                      <wp:positionV relativeFrom="paragraph">
                        <wp:posOffset>7616</wp:posOffset>
                      </wp:positionV>
                      <wp:extent cx="101598" cy="96524"/>
                      <wp:effectExtent l="0" t="0" r="12702" b="17776"/>
                      <wp:wrapNone/>
                      <wp:docPr id="12" name="Стрелка вниз 67"/>
                      <wp:cNvGraphicFramePr/>
                      <a:graphic xmlns:a="http://schemas.openxmlformats.org/drawingml/2006/main">
                        <a:graphicData uri="http://schemas.microsoft.com/office/word/2010/wordprocessingShape">
                          <wps:wsp>
                            <wps:cNvSpPr/>
                            <wps:spPr>
                              <a:xfrm>
                                <a:off x="0" y="0"/>
                                <a:ext cx="101598" cy="96524"/>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FFFFFF"/>
                              </a:solidFill>
                              <a:ln w="19046" cap="flat">
                                <a:solidFill>
                                  <a:srgbClr val="000000"/>
                                </a:solidFill>
                                <a:prstDash val="solid"/>
                              </a:ln>
                            </wps:spPr>
                            <wps:bodyPr lIns="0" tIns="0" rIns="0" bIns="0"/>
                          </wps:wsp>
                        </a:graphicData>
                      </a:graphic>
                    </wp:anchor>
                  </w:drawing>
                </mc:Choice>
                <mc:Fallback>
                  <w:pict>
                    <v:shape w14:anchorId="239C207C" id="Стрелка вниз 67" o:spid="_x0000_s1026" style="position:absolute;margin-left:135pt;margin-top:.6pt;width:8pt;height:7.6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" path="m5400,r,10800l,10800,10800,21600,21600,10800r-5400,l16200,,5400,xe" strokeweight=".52906mm">
                      <v:path arrowok="t" o:connecttype="custom" o:connectlocs="50799,0;101598,48262;50799,96524;0,48262;0,48262;101598,48262" o:connectangles="270,0,90,180,180,0" textboxrect="5400,0,16200,16200"/>
                    </v:shape>
                  </w:pict>
                </mc:Fallback>
              </mc:AlternateContent>
            </w:r>
          </w:p>
        </w:tc>
      </w:tr>
      <w:tr w:rsidR="00E85D42">
        <w:tblPrEx>
          <w:tblCellMar>
            <w:top w:w="0" w:type="dxa"/>
            <w:bottom w:w="0" w:type="dxa"/>
          </w:tblCellMar>
        </w:tblPrEx>
        <w:trPr>
          <w:trHeight w:val="68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ind w:right="-1"/>
              <w:jc w:val="center"/>
              <w:rPr>
                <w:b/>
                <w:color w:val="000000"/>
                <w:sz w:val="18"/>
                <w:szCs w:val="18"/>
              </w:rPr>
            </w:pPr>
            <w:r>
              <w:rPr>
                <w:b/>
                <w:color w:val="000000"/>
                <w:sz w:val="18"/>
                <w:szCs w:val="18"/>
              </w:rPr>
              <w:t>Этап XII. Утверждение результатов определения кадастровой стоимости</w:t>
            </w:r>
          </w:p>
        </w:tc>
      </w:tr>
    </w:tbl>
    <w:p w:rsidR="00E85D42" w:rsidRDefault="00E85D42">
      <w:pPr>
        <w:autoSpaceDE w:val="0"/>
        <w:rPr>
          <w:rFonts w:ascii="Times New Roman CYR" w:hAnsi="Times New Roman CYR" w:cs="Times New Roman CYR"/>
          <w:color w:val="000000"/>
          <w:sz w:val="24"/>
          <w:szCs w:val="24"/>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 xml:space="preserve">Этап I. </w:t>
      </w:r>
      <w:r>
        <w:rPr>
          <w:rFonts w:ascii="Times New Roman CYR" w:hAnsi="Times New Roman CYR" w:cs="Times New Roman CYR"/>
          <w:b/>
          <w:bCs/>
          <w:iCs/>
          <w:color w:val="000000"/>
          <w:sz w:val="24"/>
          <w:szCs w:val="24"/>
        </w:rPr>
        <w:t>Принятие решения о проведении государственной кадастровой оценки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Государственная кадастровая оценка проводится не чаще одного раза в три года (в городах федерального значения - не чаще одного раза в два года) и не реже одного раза в пять лет, за </w:t>
      </w:r>
      <w:r>
        <w:rPr>
          <w:rFonts w:ascii="Times New Roman CYR" w:hAnsi="Times New Roman CYR" w:cs="Times New Roman CYR"/>
          <w:color w:val="000000"/>
          <w:sz w:val="24"/>
          <w:szCs w:val="24"/>
        </w:rPr>
        <w:t xml:space="preserve">исключением проведения внеочередной государственной кадастровой оценки. </w:t>
      </w:r>
    </w:p>
    <w:p w:rsidR="00E85D42" w:rsidRDefault="008113B9">
      <w:pPr>
        <w:autoSpaceDE w:val="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Указанный срок определяется со дня принятия акта об утверждении результатов определения кадастровой стоимости до дня принятия акта об утверждении следующих результатов определения кад</w:t>
      </w:r>
      <w:r>
        <w:rPr>
          <w:rFonts w:ascii="Times New Roman CYR" w:hAnsi="Times New Roman CYR" w:cs="Times New Roman CYR"/>
          <w:color w:val="000000"/>
          <w:sz w:val="24"/>
          <w:szCs w:val="24"/>
        </w:rPr>
        <w:t>астровой стоимости. Для целей установления периодичности проведения государственной кадастровой оценки не учитывается проведение внеочередной государственной кадастровой оценки. (Федеральный закон от 3 июля 2016 г. № 237-ФЗ «О государственной кадастровой о</w:t>
      </w:r>
      <w:r>
        <w:rPr>
          <w:rFonts w:ascii="Times New Roman CYR" w:hAnsi="Times New Roman CYR" w:cs="Times New Roman CYR"/>
          <w:color w:val="000000"/>
          <w:sz w:val="24"/>
          <w:szCs w:val="24"/>
        </w:rPr>
        <w:t>ценке» в редакции от 29.07.2017г.).</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Решение о проведении государственной кадастровой оценки принимает уполномоченный орган субъекта Российской Федерации. В Республике Башкортостан таким органом является Министерство земельных и имущественных отношений Респ</w:t>
      </w:r>
      <w:r>
        <w:rPr>
          <w:rFonts w:ascii="Times New Roman CYR" w:hAnsi="Times New Roman CYR" w:cs="Times New Roman CYR"/>
          <w:color w:val="000000"/>
          <w:sz w:val="24"/>
          <w:szCs w:val="24"/>
        </w:rPr>
        <w:t>ублики Башкортостан.</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Уполномоченный орган субъекта Российской Федерации в течение тридцати дней со дня принятия решения о проведении государственной кадастровой оценки обеспечивает информирование о принятии этого решения, а также о приеме бюджетным учрежде</w:t>
      </w:r>
      <w:r>
        <w:rPr>
          <w:rFonts w:ascii="Times New Roman CYR" w:hAnsi="Times New Roman CYR" w:cs="Times New Roman CYR"/>
          <w:color w:val="000000"/>
          <w:sz w:val="24"/>
          <w:szCs w:val="24"/>
        </w:rPr>
        <w:t>нием деклараций о характеристиках объектов недвижимости.</w:t>
      </w:r>
    </w:p>
    <w:p w:rsidR="00E85D42" w:rsidRDefault="00E85D42">
      <w:pPr>
        <w:autoSpaceDE w:val="0"/>
        <w:ind w:firstLine="708"/>
        <w:jc w:val="both"/>
        <w:rPr>
          <w:rFonts w:ascii="Times New Roman CYR" w:hAnsi="Times New Roman CYR" w:cs="Times New Roman CYR"/>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II. Подготовка к проведению государственной кадастровой оценки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Подготовка к проведению государственной кадастровой оценки осуществляется до 1 января года определения кадастровой стоимости. Подг</w:t>
      </w:r>
      <w:r>
        <w:rPr>
          <w:rFonts w:ascii="Times New Roman CYR" w:hAnsi="Times New Roman CYR" w:cs="Times New Roman CYR"/>
          <w:color w:val="000000"/>
          <w:sz w:val="24"/>
          <w:szCs w:val="24"/>
        </w:rPr>
        <w:t>отовка к проведению государственной кадастровой оценки включает в себя сбор и обработку информации, необходимой для определения кадастровой стоимости. В рамках подготовки к определению кадастровой стоимости бюджетным учреждением осуществляются в том числе:</w:t>
      </w:r>
      <w:r>
        <w:rPr>
          <w:rFonts w:ascii="Times New Roman CYR" w:hAnsi="Times New Roman CYR" w:cs="Times New Roman CYR"/>
          <w:color w:val="000000"/>
          <w:sz w:val="24"/>
          <w:szCs w:val="24"/>
        </w:rPr>
        <w:t xml:space="preserve"> сбор, обработка и учет информации об объектах недвижимости, кадастровая стоимость которых была оспорена в установленном порядке.</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Для целей подготовки к проведению государственной кадастровой оценки уполномоченным в сфере проведения государственной кадастр</w:t>
      </w:r>
      <w:r>
        <w:rPr>
          <w:rFonts w:ascii="Times New Roman CYR" w:hAnsi="Times New Roman CYR" w:cs="Times New Roman CYR"/>
          <w:color w:val="000000"/>
          <w:sz w:val="24"/>
          <w:szCs w:val="24"/>
        </w:rPr>
        <w:t>овой оценки органом исполнительной власти субъекта Российской Федерации обеспечивается предоставление сведений Единого государственного реестра недвижимости (ЕГРН), а также сведений, содержащихся в учетно-технической документации (при наличии).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Бюджетное у</w:t>
      </w:r>
      <w:r>
        <w:rPr>
          <w:rFonts w:ascii="Times New Roman CYR" w:hAnsi="Times New Roman CYR" w:cs="Times New Roman CYR"/>
          <w:color w:val="000000"/>
          <w:sz w:val="24"/>
          <w:szCs w:val="24"/>
        </w:rPr>
        <w:t>чреждение направляет запросы о предоставлении недостающей информации об объектах недвижимости, необходимой для определения кадастровой стоимости, в федеральные органы исполнительной власти и подведомственные им организации, в частности в организации, подве</w:t>
      </w:r>
      <w:r>
        <w:rPr>
          <w:rFonts w:ascii="Times New Roman CYR" w:hAnsi="Times New Roman CYR" w:cs="Times New Roman CYR"/>
          <w:color w:val="000000"/>
          <w:sz w:val="24"/>
          <w:szCs w:val="24"/>
        </w:rPr>
        <w:t>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w:t>
      </w:r>
      <w:r>
        <w:rPr>
          <w:rFonts w:ascii="Times New Roman CYR" w:hAnsi="Times New Roman CYR" w:cs="Times New Roman CYR"/>
          <w:color w:val="000000"/>
          <w:sz w:val="24"/>
          <w:szCs w:val="24"/>
        </w:rPr>
        <w:t>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в подведомственные им организации.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Федеральные органы исполнительной власти и подведомственные им организации, в частности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w:t>
      </w:r>
      <w:r>
        <w:rPr>
          <w:rFonts w:ascii="Times New Roman CYR" w:hAnsi="Times New Roman CYR" w:cs="Times New Roman CYR"/>
          <w:color w:val="000000"/>
          <w:sz w:val="24"/>
          <w:szCs w:val="24"/>
        </w:rPr>
        <w:t>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w:t>
      </w:r>
      <w:r>
        <w:rPr>
          <w:rFonts w:ascii="Times New Roman CYR" w:hAnsi="Times New Roman CYR" w:cs="Times New Roman CYR"/>
          <w:color w:val="000000"/>
          <w:sz w:val="24"/>
          <w:szCs w:val="24"/>
        </w:rPr>
        <w:t xml:space="preserve"> субъекта Российской Федерации и органы местного самоуправления, а также подведомственные им организации обязаны предоставить имеющуюся в их распоряжении информацию по запросу бюджетного учреждения или уведомить об отсутствии запрошенной информации в течен</w:t>
      </w:r>
      <w:r>
        <w:rPr>
          <w:rFonts w:ascii="Times New Roman CYR" w:hAnsi="Times New Roman CYR" w:cs="Times New Roman CYR"/>
          <w:color w:val="000000"/>
          <w:sz w:val="24"/>
          <w:szCs w:val="24"/>
        </w:rPr>
        <w:t>ие двадцати рабочих дней со дня получения указанного запроса.</w:t>
      </w:r>
    </w:p>
    <w:p w:rsidR="00E85D42" w:rsidRDefault="00E85D42">
      <w:pPr>
        <w:autoSpaceDE w:val="0"/>
        <w:jc w:val="both"/>
        <w:rPr>
          <w:rFonts w:ascii="Times New Roman CYR" w:hAnsi="Times New Roman CYR" w:cs="Times New Roman CYR"/>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III. Формирование и обработка перечня объектов недвижимости, подлежащих государственной кадастровой оценке</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Перечень объектов недвижимости, подлежащих государственной кадастровой оценке, фо</w:t>
      </w:r>
      <w:r>
        <w:rPr>
          <w:rFonts w:ascii="Times New Roman CYR" w:hAnsi="Times New Roman CYR" w:cs="Times New Roman CYR"/>
          <w:color w:val="000000"/>
          <w:sz w:val="24"/>
          <w:szCs w:val="24"/>
        </w:rPr>
        <w:t>рмируется органом регистрации прав на основании решения о проведении государственной кадастровой оценки. Перечень предоставляется в уполномоченный орган субъекта Российской Федерации по его запросу о предоставлении перечня. В перечень включаются сведения о</w:t>
      </w:r>
      <w:r>
        <w:rPr>
          <w:rFonts w:ascii="Times New Roman CYR" w:hAnsi="Times New Roman CYR" w:cs="Times New Roman CYR"/>
          <w:color w:val="000000"/>
          <w:sz w:val="24"/>
          <w:szCs w:val="24"/>
        </w:rPr>
        <w:t>бо всех объектах недвижимости, указанных в решении о проведении государственной кадастровой оценки. В перечень включаются сведения Единого государственного реестра недвижимости, актуальные по состоянию на 1 января года определения кадастровой стоимости, за</w:t>
      </w:r>
      <w:r>
        <w:rPr>
          <w:rFonts w:ascii="Times New Roman CYR" w:hAnsi="Times New Roman CYR" w:cs="Times New Roman CYR"/>
          <w:color w:val="000000"/>
          <w:sz w:val="24"/>
          <w:szCs w:val="24"/>
        </w:rPr>
        <w:t xml:space="preserve"> исключением проведения внеочередной государственной кадастровой оценки. В перечень также включаются иные сведения и материалы в объеме, определенном порядком формирования и предоставления перечня.</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Орган регистрации прав размещает в фонде данных государств</w:t>
      </w:r>
      <w:r>
        <w:rPr>
          <w:rFonts w:ascii="Times New Roman CYR" w:hAnsi="Times New Roman CYR" w:cs="Times New Roman CYR"/>
          <w:color w:val="000000"/>
          <w:sz w:val="24"/>
          <w:szCs w:val="24"/>
        </w:rPr>
        <w:t>енной кадастровой оценки, сформированный перечень. Уполномоченный орган субъекта Российской Федерации в течение трех рабочих дней со дня поступления перечня направляет его в бюджетное учреждение. Обработка перечня для целей определения кадастровой стоимост</w:t>
      </w:r>
      <w:r>
        <w:rPr>
          <w:rFonts w:ascii="Times New Roman CYR" w:hAnsi="Times New Roman CYR" w:cs="Times New Roman CYR"/>
          <w:color w:val="000000"/>
          <w:sz w:val="24"/>
          <w:szCs w:val="24"/>
        </w:rPr>
        <w:t>и осуществляется государственным бюджетным учреждением в соответствии с методическими указаниями о государственной кадастровой оценке.</w:t>
      </w:r>
    </w:p>
    <w:p w:rsidR="00E85D42" w:rsidRDefault="008113B9">
      <w:pPr>
        <w:autoSpaceDE w:val="0"/>
        <w:ind w:firstLine="708"/>
        <w:jc w:val="both"/>
      </w:pPr>
      <w:r>
        <w:rPr>
          <w:rFonts w:ascii="Times New Roman CYR" w:hAnsi="Times New Roman CYR" w:cs="Times New Roman CYR"/>
          <w:color w:val="000000"/>
          <w:sz w:val="24"/>
          <w:szCs w:val="24"/>
        </w:rPr>
        <w:t>Государственное бюджетное учреждение производит обработку перечня согласно части III Методических указаний. Результаты об</w:t>
      </w:r>
      <w:r>
        <w:rPr>
          <w:rFonts w:ascii="Times New Roman CYR" w:hAnsi="Times New Roman CYR" w:cs="Times New Roman CYR"/>
          <w:color w:val="000000"/>
          <w:sz w:val="24"/>
          <w:szCs w:val="24"/>
        </w:rPr>
        <w:t>работки перечня представляются в Уполномоченный орган субъекта Российской Федерации, принявший решение о проведении государственной кадастровой оценки. Уполномоченный орган субъекта Российской Федерации, принявший решение о проведении государственной кадас</w:t>
      </w:r>
      <w:r>
        <w:rPr>
          <w:rFonts w:ascii="Times New Roman CYR" w:hAnsi="Times New Roman CYR" w:cs="Times New Roman CYR"/>
          <w:color w:val="000000"/>
          <w:sz w:val="24"/>
          <w:szCs w:val="24"/>
        </w:rPr>
        <w:t xml:space="preserve">тровой оценки, размещает результаты обработки перечня на своем официальном сайте в информационно-телекоммуникационной сети </w:t>
      </w:r>
      <w:r>
        <w:rPr>
          <w:color w:val="000000"/>
          <w:sz w:val="24"/>
          <w:szCs w:val="24"/>
        </w:rPr>
        <w:t>«</w:t>
      </w:r>
      <w:r>
        <w:rPr>
          <w:rFonts w:ascii="Times New Roman CYR" w:hAnsi="Times New Roman CYR" w:cs="Times New Roman CYR"/>
          <w:color w:val="000000"/>
          <w:sz w:val="24"/>
          <w:szCs w:val="24"/>
        </w:rPr>
        <w:t>Интернет</w:t>
      </w:r>
      <w:r>
        <w:rPr>
          <w:color w:val="000000"/>
          <w:sz w:val="24"/>
          <w:szCs w:val="24"/>
        </w:rPr>
        <w:t>».</w:t>
      </w:r>
    </w:p>
    <w:p w:rsidR="00E85D42" w:rsidRDefault="00E85D42">
      <w:pPr>
        <w:autoSpaceDE w:val="0"/>
        <w:ind w:firstLine="708"/>
        <w:jc w:val="both"/>
        <w:rPr>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IV. Сбор и анализ информации о рынке объектов недвижимости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Бюджетным учреждением осуществляется сбор и анализ инфор</w:t>
      </w:r>
      <w:r>
        <w:rPr>
          <w:rFonts w:ascii="Times New Roman CYR" w:hAnsi="Times New Roman CYR" w:cs="Times New Roman CYR"/>
          <w:color w:val="000000"/>
          <w:sz w:val="24"/>
          <w:szCs w:val="24"/>
        </w:rPr>
        <w:t xml:space="preserve">мации об экономических, социальных, экологических факторах (социально-экономическое состояние РФ и Республики Башкортостан). Вся информация должна быть получена из официальных источников. Результатом должен быть краткий обзор об экономических, социальных, </w:t>
      </w:r>
      <w:r>
        <w:rPr>
          <w:rFonts w:ascii="Times New Roman CYR" w:hAnsi="Times New Roman CYR" w:cs="Times New Roman CYR"/>
          <w:color w:val="000000"/>
          <w:sz w:val="24"/>
          <w:szCs w:val="24"/>
        </w:rPr>
        <w:t>экологических факторах, влияющих на стоимость объектов.</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Кроме того, бюджетным учреждением осуществляется сбор и анализ информации о рынке объектов недвижимости (обзор состояния рынка недвижимости и его сегментов). Информация должна быть получена из официал</w:t>
      </w:r>
      <w:r>
        <w:rPr>
          <w:rFonts w:ascii="Times New Roman CYR" w:hAnsi="Times New Roman CYR" w:cs="Times New Roman CYR"/>
          <w:color w:val="000000"/>
          <w:sz w:val="24"/>
          <w:szCs w:val="24"/>
        </w:rPr>
        <w:t xml:space="preserve">ьных источников. </w:t>
      </w:r>
    </w:p>
    <w:p w:rsidR="00E85D42" w:rsidRDefault="008113B9">
      <w:pPr>
        <w:autoSpaceDE w:val="0"/>
        <w:ind w:firstLine="708"/>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Результатом должен быть краткий обзор рынка объектов недвижимости.</w:t>
      </w:r>
    </w:p>
    <w:p w:rsidR="00E85D42" w:rsidRDefault="00E85D42">
      <w:pPr>
        <w:autoSpaceDE w:val="0"/>
        <w:ind w:firstLine="708"/>
        <w:rPr>
          <w:rFonts w:ascii="Times New Roman CYR" w:hAnsi="Times New Roman CYR" w:cs="Times New Roman CYR"/>
          <w:color w:val="000000"/>
        </w:rPr>
      </w:pPr>
    </w:p>
    <w:p w:rsidR="00E85D42" w:rsidRDefault="00E85D42">
      <w:pPr>
        <w:autoSpaceDE w:val="0"/>
        <w:jc w:val="center"/>
        <w:rPr>
          <w:rFonts w:ascii="Times New Roman CYR" w:hAnsi="Times New Roman CYR" w:cs="Times New Roman CYR"/>
          <w:b/>
          <w:bCs/>
          <w:iCs/>
          <w:color w:val="000000"/>
          <w:sz w:val="24"/>
          <w:szCs w:val="24"/>
        </w:rPr>
      </w:pPr>
    </w:p>
    <w:p w:rsidR="00E85D42" w:rsidRDefault="00E85D42">
      <w:pPr>
        <w:autoSpaceDE w:val="0"/>
        <w:jc w:val="center"/>
        <w:rPr>
          <w:rFonts w:ascii="Times New Roman CYR" w:hAnsi="Times New Roman CYR" w:cs="Times New Roman CYR"/>
          <w:b/>
          <w:bCs/>
          <w:iCs/>
          <w:color w:val="000000"/>
          <w:sz w:val="24"/>
          <w:szCs w:val="24"/>
        </w:rPr>
      </w:pPr>
    </w:p>
    <w:p w:rsidR="00E85D42" w:rsidRDefault="00E85D42">
      <w:pPr>
        <w:autoSpaceDE w:val="0"/>
        <w:jc w:val="center"/>
        <w:rPr>
          <w:rFonts w:ascii="Times New Roman CYR" w:hAnsi="Times New Roman CYR" w:cs="Times New Roman CYR"/>
          <w:b/>
          <w:bCs/>
          <w:iCs/>
          <w:color w:val="000000"/>
          <w:sz w:val="24"/>
          <w:szCs w:val="24"/>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V. Сбор сведений о значениях ценообразующих факторов</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 основе проведенного анализа информации о внешней среде объектов недвижимости определяются ценообразующие ф</w:t>
      </w:r>
      <w:r>
        <w:rPr>
          <w:rFonts w:ascii="Times New Roman CYR" w:hAnsi="Times New Roman CYR" w:cs="Times New Roman CYR"/>
          <w:color w:val="000000"/>
          <w:sz w:val="24"/>
          <w:szCs w:val="24"/>
        </w:rPr>
        <w:t>акторы, характеризующие объекты недвижимости.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 основе проведенного анализа информации о рынке, сегменте рынка объектов недвижимости определяются ценообразующие факторы, характеризующие непосредственное окружение и сегмент рынка объектов недвижимости.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Обосновывается выбор ценообразующих фактор (в том числе по перечню из Приложения № 3 «Примерный перечень ценообразующих факторов земельных участков и ОКС» к Методическим указаниям), и обосновывается отказ от рассмотрения факторов в случае, если часть факто</w:t>
      </w:r>
      <w:r>
        <w:rPr>
          <w:rFonts w:ascii="Times New Roman CYR" w:hAnsi="Times New Roman CYR" w:cs="Times New Roman CYR"/>
          <w:color w:val="000000"/>
          <w:sz w:val="24"/>
          <w:szCs w:val="24"/>
        </w:rPr>
        <w:t>ров была признана не оказывающей влияния на стоимость объектов оценки.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Бюджетным учреждением проводится сбор данных о значениях ценообразующих факторов (п. 5.2 Методических указаний). Результатом собранной информации о ценообразующих факторах являются </w:t>
      </w:r>
      <w:r>
        <w:rPr>
          <w:rFonts w:ascii="Times New Roman CYR" w:hAnsi="Times New Roman CYR" w:cs="Times New Roman CYR"/>
          <w:color w:val="000000"/>
          <w:sz w:val="24"/>
          <w:szCs w:val="24"/>
        </w:rPr>
        <w:t>сведения, представленные в семантическом и графическом виде. По итогам сбора ценообразующих факторов проводится анализ их значений на полноту, достоверность и непротиворечивость.</w:t>
      </w:r>
    </w:p>
    <w:p w:rsidR="00E85D42" w:rsidRDefault="00E85D42">
      <w:pPr>
        <w:autoSpaceDE w:val="0"/>
        <w:ind w:firstLine="708"/>
        <w:rPr>
          <w:rFonts w:ascii="Times New Roman CYR" w:hAnsi="Times New Roman CYR" w:cs="Times New Roman CYR"/>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VI. Определение кадастровой стоимости объектов оценки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Определение кадас</w:t>
      </w:r>
      <w:r>
        <w:rPr>
          <w:rFonts w:ascii="Times New Roman CYR" w:hAnsi="Times New Roman CYR" w:cs="Times New Roman CYR"/>
          <w:color w:val="000000"/>
          <w:sz w:val="24"/>
          <w:szCs w:val="24"/>
        </w:rPr>
        <w:t xml:space="preserve">тровой стоимости бюджетным учреждением осуществляется с применением методов массовой оценки и в рамках индивидуального расчета. </w:t>
      </w:r>
    </w:p>
    <w:p w:rsidR="00E85D42" w:rsidRDefault="008113B9">
      <w:pPr>
        <w:autoSpaceDE w:val="0"/>
        <w:ind w:firstLine="708"/>
        <w:jc w:val="both"/>
      </w:pPr>
      <w:r>
        <w:rPr>
          <w:rFonts w:ascii="Times New Roman CYR" w:hAnsi="Times New Roman CYR" w:cs="Times New Roman CYR"/>
          <w:color w:val="000000"/>
          <w:sz w:val="24"/>
          <w:szCs w:val="24"/>
        </w:rPr>
        <w:t>В рамках методов массовой оценки, при определении кадастровой стоимости бюджетным учреждением проводится группировка объектов н</w:t>
      </w:r>
      <w:r>
        <w:rPr>
          <w:rFonts w:ascii="Times New Roman CYR" w:hAnsi="Times New Roman CYR" w:cs="Times New Roman CYR"/>
          <w:color w:val="000000"/>
          <w:sz w:val="24"/>
          <w:szCs w:val="24"/>
        </w:rPr>
        <w:t xml:space="preserve">едвижимости на группы и подгруппы (при необходимости) в соответствии с Методическими указаниями. Кадастровая стоимость объектов недвижимости определяется в рамках каждой из групп </w:t>
      </w:r>
      <w:r>
        <w:rPr>
          <w:rFonts w:ascii="Times New Roman CYR" w:hAnsi="Times New Roman CYR" w:cs="Times New Roman CYR"/>
          <w:sz w:val="24"/>
          <w:szCs w:val="24"/>
        </w:rPr>
        <w:t>(подгрупп). В рамках одной группы (подгруппы) используются одни и те же подхо</w:t>
      </w:r>
      <w:r>
        <w:rPr>
          <w:rFonts w:ascii="Times New Roman CYR" w:hAnsi="Times New Roman CYR" w:cs="Times New Roman CYR"/>
          <w:sz w:val="24"/>
          <w:szCs w:val="24"/>
        </w:rPr>
        <w:t>ды и методы, а также критерии взвешивания полученного результата.</w:t>
      </w:r>
    </w:p>
    <w:p w:rsidR="00E85D42" w:rsidRDefault="008113B9">
      <w:pPr>
        <w:autoSpaceDE w:val="0"/>
        <w:ind w:firstLine="708"/>
        <w:jc w:val="both"/>
        <w:rPr>
          <w:rFonts w:ascii="Times New Roman CYR" w:hAnsi="Times New Roman CYR" w:cs="Times New Roman CYR"/>
          <w:sz w:val="24"/>
          <w:szCs w:val="24"/>
        </w:rPr>
      </w:pPr>
      <w:r>
        <w:rPr>
          <w:rFonts w:ascii="Times New Roman CYR" w:hAnsi="Times New Roman CYR" w:cs="Times New Roman CYR"/>
          <w:sz w:val="24"/>
          <w:szCs w:val="24"/>
        </w:rPr>
        <w:t>Определение кадастровой стоимости в рамках индивидуального расчета производится, в соответствии с п. 8.1. Методических указаний в следующих случаях:</w:t>
      </w:r>
    </w:p>
    <w:p w:rsidR="00E85D42" w:rsidRDefault="008113B9">
      <w:pPr>
        <w:autoSpaceDE w:val="0"/>
        <w:ind w:firstLine="708"/>
        <w:jc w:val="both"/>
        <w:rPr>
          <w:rFonts w:ascii="Times New Roman CYR" w:hAnsi="Times New Roman CYR" w:cs="Times New Roman CYR"/>
          <w:sz w:val="24"/>
          <w:szCs w:val="24"/>
        </w:rPr>
      </w:pPr>
      <w:r>
        <w:rPr>
          <w:rFonts w:ascii="Times New Roman CYR" w:hAnsi="Times New Roman CYR" w:cs="Times New Roman CYR"/>
          <w:sz w:val="24"/>
          <w:szCs w:val="24"/>
        </w:rPr>
        <w:t>1) требуется определение стоимости эталон</w:t>
      </w:r>
      <w:r>
        <w:rPr>
          <w:rFonts w:ascii="Times New Roman CYR" w:hAnsi="Times New Roman CYR" w:cs="Times New Roman CYR"/>
          <w:sz w:val="24"/>
          <w:szCs w:val="24"/>
        </w:rPr>
        <w:t>ного (типового) объекта с заданными характеристиками, относительно которого будут моделироваться стоимости объектов недвижимости;</w:t>
      </w:r>
    </w:p>
    <w:p w:rsidR="00E85D42" w:rsidRDefault="008113B9">
      <w:pPr>
        <w:autoSpaceDE w:val="0"/>
        <w:ind w:firstLine="708"/>
        <w:jc w:val="both"/>
        <w:rPr>
          <w:rFonts w:ascii="Times New Roman CYR" w:hAnsi="Times New Roman CYR" w:cs="Times New Roman CYR"/>
          <w:sz w:val="24"/>
          <w:szCs w:val="24"/>
        </w:rPr>
      </w:pPr>
      <w:r>
        <w:rPr>
          <w:rFonts w:ascii="Times New Roman CYR" w:hAnsi="Times New Roman CYR" w:cs="Times New Roman CYR"/>
          <w:sz w:val="24"/>
          <w:szCs w:val="24"/>
        </w:rPr>
        <w:t>2) требуется определение стоимости конкретных объектов недвижимости с целью обеспечения достаточного количества информации о р</w:t>
      </w:r>
      <w:r>
        <w:rPr>
          <w:rFonts w:ascii="Times New Roman CYR" w:hAnsi="Times New Roman CYR" w:cs="Times New Roman CYR"/>
          <w:sz w:val="24"/>
          <w:szCs w:val="24"/>
        </w:rPr>
        <w:t>ынке (сегменте рынка) объектов недвижимости или в случае невозможности продолжения фактического использования объекта недвижимости;</w:t>
      </w:r>
    </w:p>
    <w:p w:rsidR="00E85D42" w:rsidRDefault="008113B9">
      <w:pPr>
        <w:autoSpaceDE w:val="0"/>
        <w:ind w:firstLine="708"/>
        <w:jc w:val="both"/>
        <w:rPr>
          <w:rFonts w:ascii="Times New Roman CYR" w:hAnsi="Times New Roman CYR" w:cs="Times New Roman CYR"/>
          <w:sz w:val="24"/>
          <w:szCs w:val="24"/>
        </w:rPr>
      </w:pPr>
      <w:r>
        <w:rPr>
          <w:rFonts w:ascii="Times New Roman CYR" w:hAnsi="Times New Roman CYR" w:cs="Times New Roman CYR"/>
          <w:sz w:val="24"/>
          <w:szCs w:val="24"/>
        </w:rPr>
        <w:t>3) невозможности расчета с применением моделирования стоимости, в том числе статистической обработки объектов, в силу недост</w:t>
      </w:r>
      <w:r>
        <w:rPr>
          <w:rFonts w:ascii="Times New Roman CYR" w:hAnsi="Times New Roman CYR" w:cs="Times New Roman CYR"/>
          <w:sz w:val="24"/>
          <w:szCs w:val="24"/>
        </w:rPr>
        <w:t>аточного количества информации о рынке (сегменте рынка) объектов недвижимости;</w:t>
      </w:r>
    </w:p>
    <w:p w:rsidR="00E85D42" w:rsidRDefault="008113B9">
      <w:pPr>
        <w:autoSpaceDE w:val="0"/>
        <w:ind w:firstLine="708"/>
        <w:jc w:val="both"/>
        <w:rPr>
          <w:rFonts w:ascii="Times New Roman CYR" w:hAnsi="Times New Roman CYR" w:cs="Times New Roman CYR"/>
          <w:sz w:val="24"/>
          <w:szCs w:val="24"/>
        </w:rPr>
      </w:pPr>
      <w:r>
        <w:rPr>
          <w:rFonts w:ascii="Times New Roman CYR" w:hAnsi="Times New Roman CYR" w:cs="Times New Roman CYR"/>
          <w:sz w:val="24"/>
          <w:szCs w:val="24"/>
        </w:rPr>
        <w:t>4) определение кадастровой стоимости особо сложных объектов недвижимости, обладающих уникальными характеристиками.</w:t>
      </w:r>
    </w:p>
    <w:p w:rsidR="00E85D42" w:rsidRDefault="008113B9">
      <w:pPr>
        <w:autoSpaceDE w:val="0"/>
        <w:ind w:firstLine="708"/>
        <w:jc w:val="both"/>
        <w:rPr>
          <w:rFonts w:ascii="Times New Roman CYR" w:hAnsi="Times New Roman CYR" w:cs="Times New Roman CYR"/>
          <w:sz w:val="24"/>
          <w:szCs w:val="24"/>
        </w:rPr>
      </w:pPr>
      <w:r>
        <w:rPr>
          <w:rFonts w:ascii="Times New Roman CYR" w:hAnsi="Times New Roman CYR" w:cs="Times New Roman CYR"/>
          <w:sz w:val="24"/>
          <w:szCs w:val="24"/>
        </w:rPr>
        <w:t>Индивидуальный расчет осуществляется исходя из вида фактическо</w:t>
      </w:r>
      <w:r>
        <w:rPr>
          <w:rFonts w:ascii="Times New Roman CYR" w:hAnsi="Times New Roman CYR" w:cs="Times New Roman CYR"/>
          <w:sz w:val="24"/>
          <w:szCs w:val="24"/>
        </w:rPr>
        <w:t>го разрешенного использования оцениваемого объекта.</w:t>
      </w:r>
    </w:p>
    <w:p w:rsidR="00E85D42" w:rsidRDefault="00E85D42">
      <w:pPr>
        <w:autoSpaceDE w:val="0"/>
        <w:jc w:val="both"/>
        <w:rPr>
          <w:rFonts w:ascii="Times New Roman CYR" w:hAnsi="Times New Roman CYR" w:cs="Times New Roman CYR"/>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VII. Составление промежуточных расчетных документов</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По итогам определения кадастровой стоимости, за исключением проведения внеочередной государственной кадастровой оценки, бюджетным учреждением в со</w:t>
      </w:r>
      <w:r>
        <w:rPr>
          <w:rFonts w:ascii="Times New Roman CYR" w:hAnsi="Times New Roman CYR" w:cs="Times New Roman CYR"/>
          <w:color w:val="000000"/>
          <w:sz w:val="24"/>
          <w:szCs w:val="24"/>
        </w:rPr>
        <w:t xml:space="preserve">ответствии с требованиями к отчету, составляются в форме электронного документа промежуточные отчетные документы, являющиеся проектом отчета, содержащие в том числе: </w:t>
      </w:r>
    </w:p>
    <w:p w:rsidR="00E85D42" w:rsidRDefault="008113B9">
      <w:pPr>
        <w:autoSpaceDE w:val="0"/>
        <w:ind w:firstLine="708"/>
        <w:jc w:val="both"/>
      </w:pPr>
      <w:r>
        <w:rPr>
          <w:rFonts w:ascii="Times New Roman CYR" w:hAnsi="Times New Roman CYR" w:cs="Times New Roman CYR"/>
          <w:color w:val="000000"/>
          <w:sz w:val="24"/>
          <w:szCs w:val="24"/>
        </w:rPr>
        <w:t>-</w:t>
      </w:r>
      <w:r>
        <w:rPr>
          <w:rFonts w:ascii="Arial CYR" w:hAnsi="Arial CYR" w:cs="Arial CYR"/>
          <w:color w:val="000000"/>
          <w:sz w:val="24"/>
          <w:szCs w:val="24"/>
        </w:rPr>
        <w:t xml:space="preserve"> </w:t>
      </w:r>
      <w:r>
        <w:rPr>
          <w:rFonts w:ascii="Times New Roman CYR" w:hAnsi="Times New Roman CYR" w:cs="Times New Roman CYR"/>
          <w:color w:val="000000"/>
          <w:sz w:val="24"/>
          <w:szCs w:val="24"/>
        </w:rPr>
        <w:t xml:space="preserve">информацию об объектах недвижимости, включенных в перечень (кадастровые номера, адреса </w:t>
      </w:r>
      <w:r>
        <w:rPr>
          <w:rFonts w:ascii="Times New Roman CYR" w:hAnsi="Times New Roman CYR" w:cs="Times New Roman CYR"/>
          <w:color w:val="000000"/>
          <w:sz w:val="24"/>
          <w:szCs w:val="24"/>
        </w:rPr>
        <w:t xml:space="preserve">(при наличии), характеристики объектов недвижимости, содержащиеся в перечне); </w:t>
      </w:r>
    </w:p>
    <w:p w:rsidR="00E85D42" w:rsidRDefault="008113B9">
      <w:pPr>
        <w:autoSpaceDE w:val="0"/>
        <w:ind w:firstLine="708"/>
        <w:jc w:val="both"/>
      </w:pPr>
      <w:r>
        <w:rPr>
          <w:rFonts w:ascii="Times New Roman CYR" w:hAnsi="Times New Roman CYR" w:cs="Times New Roman CYR"/>
          <w:color w:val="000000"/>
          <w:sz w:val="24"/>
          <w:szCs w:val="24"/>
        </w:rPr>
        <w:t>-</w:t>
      </w:r>
      <w:r>
        <w:rPr>
          <w:rFonts w:ascii="Arial CYR" w:hAnsi="Arial CYR" w:cs="Arial CYR"/>
          <w:color w:val="000000"/>
          <w:sz w:val="24"/>
          <w:szCs w:val="24"/>
        </w:rPr>
        <w:t xml:space="preserve"> </w:t>
      </w:r>
      <w:r>
        <w:rPr>
          <w:rFonts w:ascii="Times New Roman CYR" w:hAnsi="Times New Roman CYR" w:cs="Times New Roman CYR"/>
          <w:color w:val="000000"/>
          <w:sz w:val="24"/>
          <w:szCs w:val="24"/>
        </w:rPr>
        <w:t>информацию о характеристиках объектов недвижимости, использованных при определении их кадастровой стоимости, или о недостаточности информации о характеристиках объектов недвиж</w:t>
      </w:r>
      <w:r>
        <w:rPr>
          <w:rFonts w:ascii="Times New Roman CYR" w:hAnsi="Times New Roman CYR" w:cs="Times New Roman CYR"/>
          <w:color w:val="000000"/>
          <w:sz w:val="24"/>
          <w:szCs w:val="24"/>
        </w:rPr>
        <w:t>имости, необходимых для определения их кадастровой стоимости (с указанием недостающей информации); -</w:t>
      </w:r>
      <w:r>
        <w:rPr>
          <w:rFonts w:ascii="Arial CYR" w:hAnsi="Arial CYR" w:cs="Arial CYR"/>
          <w:color w:val="000000"/>
          <w:sz w:val="24"/>
          <w:szCs w:val="24"/>
        </w:rPr>
        <w:t xml:space="preserve"> </w:t>
      </w:r>
      <w:r>
        <w:rPr>
          <w:rFonts w:ascii="Times New Roman CYR" w:hAnsi="Times New Roman CYR" w:cs="Times New Roman CYR"/>
          <w:color w:val="000000"/>
          <w:sz w:val="24"/>
          <w:szCs w:val="24"/>
        </w:rPr>
        <w:t>описание процесса определения кадастровой стоимости с указанием определенных значений кадастровой стоимости.</w:t>
      </w:r>
    </w:p>
    <w:p w:rsidR="00E85D42" w:rsidRDefault="008113B9">
      <w:pPr>
        <w:autoSpaceDE w:val="0"/>
        <w:ind w:firstLine="708"/>
        <w:jc w:val="both"/>
      </w:pPr>
      <w:r>
        <w:rPr>
          <w:rFonts w:ascii="Times New Roman CYR" w:hAnsi="Times New Roman CYR" w:cs="Times New Roman CYR"/>
          <w:color w:val="000000"/>
          <w:sz w:val="24"/>
          <w:szCs w:val="24"/>
        </w:rPr>
        <w:t xml:space="preserve">Бюджетное учреждение в течение трех рабочих </w:t>
      </w:r>
      <w:r>
        <w:rPr>
          <w:rFonts w:ascii="Times New Roman CYR" w:hAnsi="Times New Roman CYR" w:cs="Times New Roman CYR"/>
          <w:color w:val="000000"/>
          <w:sz w:val="24"/>
          <w:szCs w:val="24"/>
        </w:rPr>
        <w:t xml:space="preserve">дней со дня составления промежуточных отчетных документов осуществляет их размещение на своем официальном сайте в информационно-телекоммуникационной сети </w:t>
      </w:r>
      <w:r>
        <w:rPr>
          <w:color w:val="000000"/>
          <w:sz w:val="24"/>
          <w:szCs w:val="24"/>
        </w:rPr>
        <w:t>«</w:t>
      </w:r>
      <w:r>
        <w:rPr>
          <w:rFonts w:ascii="Times New Roman CYR" w:hAnsi="Times New Roman CYR" w:cs="Times New Roman CYR"/>
          <w:color w:val="000000"/>
          <w:sz w:val="24"/>
          <w:szCs w:val="24"/>
        </w:rPr>
        <w:t>Интернет</w:t>
      </w:r>
      <w:r>
        <w:rPr>
          <w:color w:val="000000"/>
          <w:sz w:val="24"/>
          <w:szCs w:val="24"/>
        </w:rPr>
        <w:t xml:space="preserve">» </w:t>
      </w:r>
      <w:r>
        <w:rPr>
          <w:rFonts w:ascii="Times New Roman CYR" w:hAnsi="Times New Roman CYR" w:cs="Times New Roman CYR"/>
          <w:color w:val="000000"/>
          <w:sz w:val="24"/>
          <w:szCs w:val="24"/>
        </w:rPr>
        <w:t>без публикации информации о таком размещении, а также направляет сведения о месте размещени</w:t>
      </w:r>
      <w:r>
        <w:rPr>
          <w:rFonts w:ascii="Times New Roman CYR" w:hAnsi="Times New Roman CYR" w:cs="Times New Roman CYR"/>
          <w:color w:val="000000"/>
          <w:sz w:val="24"/>
          <w:szCs w:val="24"/>
        </w:rPr>
        <w:t>я таких документов и промежуточные отчетные документы в орган регистрации прав на электронном носителе в форме электронного документа.</w:t>
      </w:r>
    </w:p>
    <w:p w:rsidR="00E85D42" w:rsidRDefault="00E85D42">
      <w:pPr>
        <w:autoSpaceDE w:val="0"/>
        <w:ind w:firstLine="708"/>
        <w:jc w:val="both"/>
        <w:rPr>
          <w:rFonts w:ascii="Times New Roman CYR" w:hAnsi="Times New Roman CYR" w:cs="Times New Roman CYR"/>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VIII. Проверка промежуточного отчета и устранение выявленных несоответствий требованиям к отчету</w:t>
      </w:r>
    </w:p>
    <w:p w:rsidR="00E85D42" w:rsidRDefault="008113B9">
      <w:pPr>
        <w:autoSpaceDE w:val="0"/>
        <w:ind w:firstLine="708"/>
        <w:jc w:val="both"/>
      </w:pPr>
      <w:r>
        <w:rPr>
          <w:rFonts w:ascii="Times New Roman CYR" w:hAnsi="Times New Roman CYR" w:cs="Times New Roman CYR"/>
          <w:color w:val="000000"/>
          <w:sz w:val="24"/>
          <w:szCs w:val="24"/>
        </w:rPr>
        <w:t xml:space="preserve">Орган регистрации </w:t>
      </w:r>
      <w:r>
        <w:rPr>
          <w:rFonts w:ascii="Times New Roman CYR" w:hAnsi="Times New Roman CYR" w:cs="Times New Roman CYR"/>
          <w:color w:val="000000"/>
          <w:sz w:val="24"/>
          <w:szCs w:val="24"/>
        </w:rPr>
        <w:t>прав в течение десяти рабочих дней со дня получения промежуточных отчетных документов осуществляет их проверку на соответствие требованиям к отчету. Орган регистрации прав в течение трех рабочих дней со дня окончания проверки промежуточных отчетных докумен</w:t>
      </w:r>
      <w:r>
        <w:rPr>
          <w:rFonts w:ascii="Times New Roman CYR" w:hAnsi="Times New Roman CYR" w:cs="Times New Roman CYR"/>
          <w:color w:val="000000"/>
          <w:sz w:val="24"/>
          <w:szCs w:val="24"/>
        </w:rPr>
        <w:t xml:space="preserve">тов направляет в бюджетное учреждение и уполномоченный орган субъекта Российской Федерации уведомление о соответствии промежуточных отчетных документов требованиям к отчету или об их несоответствии с указанием требований к отчету, которым не соответствуют </w:t>
      </w:r>
      <w:r>
        <w:rPr>
          <w:rFonts w:ascii="Times New Roman CYR" w:hAnsi="Times New Roman CYR" w:cs="Times New Roman CYR"/>
          <w:color w:val="000000"/>
          <w:sz w:val="24"/>
          <w:szCs w:val="24"/>
        </w:rPr>
        <w:t xml:space="preserve">промежуточные отчетные документы. Бюджетное учреждение осуществляет устранение выявленного органом регистрации прав несоответствия требованиям к отчету в течение семи рабочих дней со дня получения уведомления органа регистрации прав о таком несоответствии </w:t>
      </w:r>
      <w:r>
        <w:rPr>
          <w:rFonts w:ascii="Times New Roman CYR" w:hAnsi="Times New Roman CYR" w:cs="Times New Roman CYR"/>
          <w:color w:val="000000"/>
          <w:sz w:val="24"/>
          <w:szCs w:val="24"/>
        </w:rPr>
        <w:t>и представляет в орган регистрации прав исправленные промежуточные отчетные документы для повторной проверки.</w:t>
      </w:r>
      <w:r>
        <w:rPr>
          <w:rFonts w:ascii="Times New Roman CYR" w:hAnsi="Times New Roman CYR" w:cs="Times New Roman CYR"/>
          <w:b/>
          <w:bCs/>
          <w:i/>
          <w:iCs/>
          <w:color w:val="000000"/>
          <w:sz w:val="24"/>
          <w:szCs w:val="24"/>
        </w:rPr>
        <w:t xml:space="preserve"> </w:t>
      </w:r>
    </w:p>
    <w:p w:rsidR="00E85D42" w:rsidRDefault="00E85D42">
      <w:pPr>
        <w:autoSpaceDE w:val="0"/>
        <w:ind w:firstLine="708"/>
        <w:jc w:val="both"/>
        <w:rPr>
          <w:rFonts w:ascii="Times New Roman CYR" w:hAnsi="Times New Roman CYR" w:cs="Times New Roman CYR"/>
          <w:b/>
          <w:bCs/>
          <w:i/>
          <w:iCs/>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IX. Размещение в фонде данных государственной кадастровой оценки промежуточного отчета для представления замечаний, связанных с определение</w:t>
      </w:r>
      <w:r>
        <w:rPr>
          <w:rFonts w:ascii="Times New Roman CYR" w:hAnsi="Times New Roman CYR" w:cs="Times New Roman CYR"/>
          <w:b/>
          <w:bCs/>
          <w:iCs/>
          <w:color w:val="000000"/>
          <w:sz w:val="24"/>
          <w:szCs w:val="24"/>
        </w:rPr>
        <w:t>м кадастровой стоимости</w:t>
      </w:r>
    </w:p>
    <w:p w:rsidR="00E85D42" w:rsidRDefault="008113B9">
      <w:pPr>
        <w:autoSpaceDE w:val="0"/>
        <w:ind w:firstLine="708"/>
        <w:jc w:val="both"/>
      </w:pPr>
      <w:r>
        <w:rPr>
          <w:rFonts w:ascii="Times New Roman CYR" w:hAnsi="Times New Roman CYR" w:cs="Times New Roman CYR"/>
          <w:color w:val="000000"/>
          <w:sz w:val="24"/>
          <w:szCs w:val="24"/>
        </w:rPr>
        <w:t>В случае соответствия промежуточных отчетных документов требованиям к отчету орган регистрации прав в течение трех рабочих дней со дня окончания проверки промежуточных отчетных документов размещает в фонде данных государственной кад</w:t>
      </w:r>
      <w:r>
        <w:rPr>
          <w:rFonts w:ascii="Times New Roman CYR" w:hAnsi="Times New Roman CYR" w:cs="Times New Roman CYR"/>
          <w:color w:val="000000"/>
          <w:sz w:val="24"/>
          <w:szCs w:val="24"/>
        </w:rPr>
        <w:t>астровой оценки сведения и материалы, содержащиеся в промежуточных отчетных документах, в объеме, предусмотренном порядком ведения фонда данных государственной кадастровой оценки, а также сведения о месте размещения таких документов на официальном сайте бю</w:t>
      </w:r>
      <w:r>
        <w:rPr>
          <w:rFonts w:ascii="Times New Roman CYR" w:hAnsi="Times New Roman CYR" w:cs="Times New Roman CYR"/>
          <w:color w:val="000000"/>
          <w:sz w:val="24"/>
          <w:szCs w:val="24"/>
        </w:rPr>
        <w:t xml:space="preserve">джетного учреждения в информационно-телекоммуникационной сети </w:t>
      </w:r>
      <w:r>
        <w:rPr>
          <w:color w:val="000000"/>
          <w:sz w:val="24"/>
          <w:szCs w:val="24"/>
        </w:rPr>
        <w:t>«</w:t>
      </w:r>
      <w:r>
        <w:rPr>
          <w:rFonts w:ascii="Times New Roman CYR" w:hAnsi="Times New Roman CYR" w:cs="Times New Roman CYR"/>
          <w:color w:val="000000"/>
          <w:sz w:val="24"/>
          <w:szCs w:val="24"/>
        </w:rPr>
        <w:t>Интернет</w:t>
      </w:r>
      <w:r>
        <w:rPr>
          <w:color w:val="000000"/>
          <w:sz w:val="24"/>
          <w:szCs w:val="24"/>
        </w:rPr>
        <w:t xml:space="preserve">» </w:t>
      </w:r>
      <w:r>
        <w:rPr>
          <w:rFonts w:ascii="Times New Roman CYR" w:hAnsi="Times New Roman CYR" w:cs="Times New Roman CYR"/>
          <w:color w:val="000000"/>
          <w:sz w:val="24"/>
          <w:szCs w:val="24"/>
        </w:rPr>
        <w:t>на шестьдесят дней для представления замечаний, связанных с определением кадастровой стоимости, информация о котором содержится в промежуточных отчетных документах.</w:t>
      </w:r>
    </w:p>
    <w:p w:rsidR="00E85D42" w:rsidRDefault="008113B9">
      <w:pPr>
        <w:autoSpaceDE w:val="0"/>
        <w:ind w:firstLine="708"/>
        <w:jc w:val="both"/>
      </w:pPr>
      <w:r>
        <w:rPr>
          <w:rFonts w:ascii="Times New Roman CYR" w:hAnsi="Times New Roman CYR" w:cs="Times New Roman CYR"/>
          <w:color w:val="000000"/>
          <w:sz w:val="24"/>
          <w:szCs w:val="24"/>
        </w:rPr>
        <w:t xml:space="preserve">Орган регистрации </w:t>
      </w:r>
      <w:r>
        <w:rPr>
          <w:rFonts w:ascii="Times New Roman CYR" w:hAnsi="Times New Roman CYR" w:cs="Times New Roman CYR"/>
          <w:color w:val="000000"/>
          <w:sz w:val="24"/>
          <w:szCs w:val="24"/>
        </w:rPr>
        <w:t>прав не позднее дня начала срока представления замечаний к промежуточным отчетным документам обеспечивает размещение в фонде данных государственной кадастровой оценки информации о порядке и сроках представления замечаний к промежуточным отчетным документам</w:t>
      </w:r>
      <w:r>
        <w:rPr>
          <w:rFonts w:ascii="Times New Roman CYR" w:hAnsi="Times New Roman CYR" w:cs="Times New Roman CYR"/>
          <w:color w:val="000000"/>
          <w:sz w:val="24"/>
          <w:szCs w:val="24"/>
        </w:rPr>
        <w:t>. Уполномоченный орган субъекта Российской Федерации в течение десяти рабочих дней со дня получения уведомления о соответствии промежуточных отчетных документов требованиям к отчету обеспечивает информирование о размещении промежуточных отчетных документов</w:t>
      </w:r>
      <w:r>
        <w:rPr>
          <w:rFonts w:ascii="Times New Roman CYR" w:hAnsi="Times New Roman CYR" w:cs="Times New Roman CYR"/>
          <w:color w:val="000000"/>
          <w:sz w:val="24"/>
          <w:szCs w:val="24"/>
        </w:rPr>
        <w:t xml:space="preserve">, а также о порядке и сроках представления замечаний к промежуточным отчетным документам путем: 1) размещения извещения на своем официальном сайте в информационно-телекоммуникационной сети </w:t>
      </w:r>
      <w:r>
        <w:rPr>
          <w:color w:val="000000"/>
          <w:sz w:val="24"/>
          <w:szCs w:val="24"/>
        </w:rPr>
        <w:t>«</w:t>
      </w:r>
      <w:r>
        <w:rPr>
          <w:rFonts w:ascii="Times New Roman CYR" w:hAnsi="Times New Roman CYR" w:cs="Times New Roman CYR"/>
          <w:color w:val="000000"/>
          <w:sz w:val="24"/>
          <w:szCs w:val="24"/>
        </w:rPr>
        <w:t>Интернет</w:t>
      </w:r>
      <w:r>
        <w:rPr>
          <w:color w:val="000000"/>
          <w:sz w:val="24"/>
          <w:szCs w:val="24"/>
        </w:rPr>
        <w:t xml:space="preserve">»; </w:t>
      </w:r>
      <w:r>
        <w:rPr>
          <w:rFonts w:ascii="Times New Roman CYR" w:hAnsi="Times New Roman CYR" w:cs="Times New Roman CYR"/>
          <w:color w:val="000000"/>
          <w:sz w:val="24"/>
          <w:szCs w:val="24"/>
        </w:rPr>
        <w:t>2) опубликования извещения в печатном средстве массовой</w:t>
      </w:r>
      <w:r>
        <w:rPr>
          <w:rFonts w:ascii="Times New Roman CYR" w:hAnsi="Times New Roman CYR" w:cs="Times New Roman CYR"/>
          <w:color w:val="000000"/>
          <w:sz w:val="24"/>
          <w:szCs w:val="24"/>
        </w:rPr>
        <w:t xml:space="preserve">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 3) размещения извещения на своих информационных щитах; 4) направления информации в органы местного </w:t>
      </w:r>
      <w:r>
        <w:rPr>
          <w:rFonts w:ascii="Times New Roman CYR" w:hAnsi="Times New Roman CYR" w:cs="Times New Roman CYR"/>
          <w:color w:val="000000"/>
          <w:sz w:val="24"/>
          <w:szCs w:val="24"/>
        </w:rPr>
        <w:t>самоуправления муниципальных образований, расположенных на территории субъекта Российской Федерации, для размещения извещения на информационных щитах указанных органов.</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Замечания к промежуточным отчетным документам представляются в течение пятидесяти дней </w:t>
      </w:r>
      <w:r>
        <w:rPr>
          <w:rFonts w:ascii="Times New Roman CYR" w:hAnsi="Times New Roman CYR" w:cs="Times New Roman CYR"/>
          <w:color w:val="000000"/>
          <w:sz w:val="24"/>
          <w:szCs w:val="24"/>
        </w:rPr>
        <w:t>со дня размещения промежуточных отчетных материалов в фонде данных государственной кадастровой оценки.</w:t>
      </w:r>
    </w:p>
    <w:p w:rsidR="00E85D42" w:rsidRDefault="00E85D42">
      <w:pPr>
        <w:autoSpaceDE w:val="0"/>
        <w:rPr>
          <w:rFonts w:ascii="Times New Roman CYR" w:hAnsi="Times New Roman CYR" w:cs="Times New Roman CYR"/>
          <w:b/>
          <w:bCs/>
          <w:iCs/>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X. Рассмотрение замечаний и внесение исправлений в промежуточные отчетные документы</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В случае соответствия замечаний предъявляемым к ним </w:t>
      </w:r>
      <w:r>
        <w:rPr>
          <w:rFonts w:ascii="Times New Roman CYR" w:hAnsi="Times New Roman CYR" w:cs="Times New Roman CYR"/>
          <w:color w:val="000000"/>
          <w:sz w:val="24"/>
          <w:szCs w:val="24"/>
        </w:rPr>
        <w:t>требованиям, эти замечания рассматриваются государственным бюджетным учреждением и в случае обоснованности замечаний после уточнения сведений вносятся исправления в промежуточные отчетные документы. Кроме того, бюджетным учреждением осуществляется пересчет</w:t>
      </w:r>
      <w:r>
        <w:rPr>
          <w:rFonts w:ascii="Times New Roman CYR" w:hAnsi="Times New Roman CYR" w:cs="Times New Roman CYR"/>
          <w:color w:val="000000"/>
          <w:sz w:val="24"/>
          <w:szCs w:val="24"/>
        </w:rPr>
        <w:t xml:space="preserve"> кадастровой стоимости объектов недвижимости, в отношении которых не было представлено замечание, если бюджетным учреждением выявлена необходимость такого пересчета.</w:t>
      </w:r>
    </w:p>
    <w:p w:rsidR="00E85D42" w:rsidRDefault="008113B9">
      <w:pPr>
        <w:autoSpaceDE w:val="0"/>
        <w:ind w:firstLine="708"/>
        <w:jc w:val="both"/>
      </w:pPr>
      <w:r>
        <w:rPr>
          <w:rFonts w:ascii="Times New Roman CYR" w:hAnsi="Times New Roman CYR" w:cs="Times New Roman CYR"/>
          <w:color w:val="000000"/>
          <w:sz w:val="24"/>
          <w:szCs w:val="24"/>
        </w:rPr>
        <w:t>Бюджетным учреждением не реже чем один раз в пять дней в течение срока размещения промежут</w:t>
      </w:r>
      <w:r>
        <w:rPr>
          <w:rFonts w:ascii="Times New Roman CYR" w:hAnsi="Times New Roman CYR" w:cs="Times New Roman CYR"/>
          <w:color w:val="000000"/>
          <w:sz w:val="24"/>
          <w:szCs w:val="24"/>
        </w:rPr>
        <w:t xml:space="preserve">очных отчетных документов осуществляется размещение на своем официальном сайте в информационно-телекоммуникационной сети </w:t>
      </w:r>
      <w:r>
        <w:rPr>
          <w:color w:val="000000"/>
          <w:sz w:val="24"/>
          <w:szCs w:val="24"/>
        </w:rPr>
        <w:t>«</w:t>
      </w:r>
      <w:r>
        <w:rPr>
          <w:rFonts w:ascii="Times New Roman CYR" w:hAnsi="Times New Roman CYR" w:cs="Times New Roman CYR"/>
          <w:color w:val="000000"/>
          <w:sz w:val="24"/>
          <w:szCs w:val="24"/>
        </w:rPr>
        <w:t>Интернет</w:t>
      </w:r>
      <w:r>
        <w:rPr>
          <w:color w:val="000000"/>
          <w:sz w:val="24"/>
          <w:szCs w:val="24"/>
        </w:rPr>
        <w:t xml:space="preserve">» </w:t>
      </w:r>
      <w:r>
        <w:rPr>
          <w:rFonts w:ascii="Times New Roman CYR" w:hAnsi="Times New Roman CYR" w:cs="Times New Roman CYR"/>
          <w:color w:val="000000"/>
          <w:sz w:val="24"/>
          <w:szCs w:val="24"/>
        </w:rPr>
        <w:t>обновленных промежуточных отчетных документов, информации о кадастровых номерах объектов недвижимости, в отношении которых о</w:t>
      </w:r>
      <w:r>
        <w:rPr>
          <w:rFonts w:ascii="Times New Roman CYR" w:hAnsi="Times New Roman CYR" w:cs="Times New Roman CYR"/>
          <w:color w:val="000000"/>
          <w:sz w:val="24"/>
          <w:szCs w:val="24"/>
        </w:rPr>
        <w:t>существлен пересчет кадастровой стоимости, информации, отражающей описание проведенного пересчета кадастровой стоимости каждого из объектов недвижимости с обоснованием учета замечания к промежуточным отчетным документам, а также размещение информации о пос</w:t>
      </w:r>
      <w:r>
        <w:rPr>
          <w:rFonts w:ascii="Times New Roman CYR" w:hAnsi="Times New Roman CYR" w:cs="Times New Roman CYR"/>
          <w:color w:val="000000"/>
          <w:sz w:val="24"/>
          <w:szCs w:val="24"/>
        </w:rPr>
        <w:t>тупивших замечаниях к промежуточным отчетным документам, которые не были учтены, с соответствующим обоснованием отказа в их учете. Внесение бюджетным учреждением изменений в промежуточные отчетные документы по итогам рассмотрения представленных замечаний к</w:t>
      </w:r>
      <w:r>
        <w:rPr>
          <w:rFonts w:ascii="Times New Roman CYR" w:hAnsi="Times New Roman CYR" w:cs="Times New Roman CYR"/>
          <w:color w:val="000000"/>
          <w:sz w:val="24"/>
          <w:szCs w:val="24"/>
        </w:rPr>
        <w:t xml:space="preserve"> ним осуществляется не позднее окончания срока размещения промежуточных сведений и материалов.</w:t>
      </w:r>
    </w:p>
    <w:p w:rsidR="00E85D42" w:rsidRDefault="00E85D42">
      <w:pPr>
        <w:autoSpaceDE w:val="0"/>
        <w:ind w:firstLine="708"/>
        <w:jc w:val="both"/>
        <w:rPr>
          <w:rFonts w:ascii="Times New Roman CYR" w:hAnsi="Times New Roman CYR" w:cs="Times New Roman CYR"/>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XI. Составление итогового отчета о государственной кадастровой оценке</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Бюджетное учреждение в течение десяти дней после истечения срока предоставления замеч</w:t>
      </w:r>
      <w:r>
        <w:rPr>
          <w:rFonts w:ascii="Times New Roman CYR" w:hAnsi="Times New Roman CYR" w:cs="Times New Roman CYR"/>
          <w:color w:val="000000"/>
          <w:sz w:val="24"/>
          <w:szCs w:val="24"/>
        </w:rPr>
        <w:t>аний составляет отчет, включающий в себя справку, содержащую информацию обо всех учтенных и неучтенных замечаниях к промежуточным отчетным документам с обоснованием их учета или отказа в их учете или об отсутствии замечаний к промежуточным отчетным докумен</w:t>
      </w:r>
      <w:r>
        <w:rPr>
          <w:rFonts w:ascii="Times New Roman CYR" w:hAnsi="Times New Roman CYR" w:cs="Times New Roman CYR"/>
          <w:color w:val="000000"/>
          <w:sz w:val="24"/>
          <w:szCs w:val="24"/>
        </w:rPr>
        <w:t>там, а также об исправлении выявленных органом регистрации прав нарушений требований к отчету.</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Бюджетное учреждение в течение трех рабочих дней со дня составления отчета направляет его на электронном носителе в форме электронного документа в орган регистра</w:t>
      </w:r>
      <w:r>
        <w:rPr>
          <w:rFonts w:ascii="Times New Roman CYR" w:hAnsi="Times New Roman CYR" w:cs="Times New Roman CYR"/>
          <w:color w:val="000000"/>
          <w:sz w:val="24"/>
          <w:szCs w:val="24"/>
        </w:rPr>
        <w:t>ции прав.</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Орган регистрации прав в течение двадцати рабочих дней проводит проверку отчета на соответствие требованиям к отчету и направляет в бюджетное учреждение, и уполномоченный орган субъекта Российской Федерации предписание об устранении выявленных на</w:t>
      </w:r>
      <w:r>
        <w:rPr>
          <w:rFonts w:ascii="Times New Roman CYR" w:hAnsi="Times New Roman CYR" w:cs="Times New Roman CYR"/>
          <w:color w:val="000000"/>
          <w:sz w:val="24"/>
          <w:szCs w:val="24"/>
        </w:rPr>
        <w:t>рушений или уведомление об отсутствии нарушений. Предписание об устранении выявленных нарушений требований к отчету должно включать в себя исчерпывающий перечень выявленных нарушений и их соответствующее обоснование.</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 случае выявления нарушений требований</w:t>
      </w:r>
      <w:r>
        <w:rPr>
          <w:rFonts w:ascii="Times New Roman CYR" w:hAnsi="Times New Roman CYR" w:cs="Times New Roman CYR"/>
          <w:color w:val="000000"/>
          <w:sz w:val="24"/>
          <w:szCs w:val="24"/>
        </w:rPr>
        <w:t xml:space="preserve"> к отчету бюджетное учреждение в течение десяти рабочих дней со дня получения предписания об устранении выявленных нарушений осуществляет их устранение и в течение трех рабочих дней направляет в орган регистрации прав отчет на электронном носителе в форме </w:t>
      </w:r>
      <w:r>
        <w:rPr>
          <w:rFonts w:ascii="Times New Roman CYR" w:hAnsi="Times New Roman CYR" w:cs="Times New Roman CYR"/>
          <w:color w:val="000000"/>
          <w:sz w:val="24"/>
          <w:szCs w:val="24"/>
        </w:rPr>
        <w:t>электронного документа для проведения повторной проверки.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 случае, если нарушений требований к отчету не выявлено, бюджетное учреждение в течение трех рабочих дней со дня получения уведомления органа регистрации прав об отсутствии нарушений направляет в у</w:t>
      </w:r>
      <w:r>
        <w:rPr>
          <w:rFonts w:ascii="Times New Roman CYR" w:hAnsi="Times New Roman CYR" w:cs="Times New Roman CYR"/>
          <w:color w:val="000000"/>
          <w:sz w:val="24"/>
          <w:szCs w:val="24"/>
        </w:rPr>
        <w:t>полномоченный орган субъекта Российской Федерации три экземпляра отчета на электронном носителе в форме электронного документа и одну копию отчета на бумажном носителе.</w:t>
      </w:r>
    </w:p>
    <w:p w:rsidR="00E85D42" w:rsidRDefault="00E85D42">
      <w:pPr>
        <w:autoSpaceDE w:val="0"/>
        <w:jc w:val="both"/>
        <w:rPr>
          <w:rFonts w:ascii="Times New Roman CYR" w:hAnsi="Times New Roman CYR" w:cs="Times New Roman CYR"/>
          <w:color w:val="000000"/>
        </w:rPr>
      </w:pPr>
    </w:p>
    <w:p w:rsidR="00E85D42" w:rsidRDefault="008113B9">
      <w:pPr>
        <w:autoSpaceDE w:val="0"/>
        <w:jc w:val="center"/>
        <w:rPr>
          <w:rFonts w:ascii="Times New Roman CYR" w:hAnsi="Times New Roman CYR" w:cs="Times New Roman CYR"/>
          <w:b/>
          <w:bCs/>
          <w:iCs/>
          <w:color w:val="000000"/>
          <w:sz w:val="24"/>
          <w:szCs w:val="24"/>
        </w:rPr>
      </w:pPr>
      <w:r>
        <w:rPr>
          <w:rFonts w:ascii="Times New Roman CYR" w:hAnsi="Times New Roman CYR" w:cs="Times New Roman CYR"/>
          <w:b/>
          <w:bCs/>
          <w:iCs/>
          <w:color w:val="000000"/>
          <w:sz w:val="24"/>
          <w:szCs w:val="24"/>
        </w:rPr>
        <w:t>Этап XII. Утверждение результатов определения кадастровой стоимости</w:t>
      </w:r>
    </w:p>
    <w:p w:rsidR="00E85D42" w:rsidRDefault="008113B9">
      <w:pPr>
        <w:autoSpaceDE w:val="0"/>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Уполномоченный орг</w:t>
      </w:r>
      <w:r>
        <w:rPr>
          <w:rFonts w:ascii="Times New Roman CYR" w:hAnsi="Times New Roman CYR" w:cs="Times New Roman CYR"/>
          <w:color w:val="000000"/>
          <w:sz w:val="24"/>
          <w:szCs w:val="24"/>
        </w:rPr>
        <w:t>ан субъекта Российской Федерации в течение двадцати рабочих дней со дня получения отчета утверждает содержащиеся в таком отчете результаты определения кадастровой стоимости путем принятия соответствующего акта об утверждении результатов определения кадастр</w:t>
      </w:r>
      <w:r>
        <w:rPr>
          <w:rFonts w:ascii="Times New Roman CYR" w:hAnsi="Times New Roman CYR" w:cs="Times New Roman CYR"/>
          <w:color w:val="000000"/>
          <w:sz w:val="24"/>
          <w:szCs w:val="24"/>
        </w:rPr>
        <w:t>овой стоимости.</w:t>
      </w:r>
    </w:p>
    <w:p w:rsidR="00E85D42" w:rsidRDefault="008113B9">
      <w:pPr>
        <w:ind w:firstLine="708"/>
        <w:jc w:val="both"/>
      </w:pPr>
      <w:r>
        <w:rPr>
          <w:rFonts w:ascii="Times New Roman CYR" w:hAnsi="Times New Roman CYR" w:cs="Times New Roman CYR"/>
          <w:color w:val="000000"/>
          <w:sz w:val="24"/>
          <w:szCs w:val="24"/>
        </w:rPr>
        <w:t>Уполномоченный орган субъекта Российской Федерации, принявший решение о проведении государственной кадастровой оценки, в течение тридцати рабочих дней со дня принятия акта об утверждении результатов определения кадастровой стоимости обеспеч</w:t>
      </w:r>
      <w:r>
        <w:rPr>
          <w:rFonts w:ascii="Times New Roman CYR" w:hAnsi="Times New Roman CYR" w:cs="Times New Roman CYR"/>
          <w:color w:val="000000"/>
          <w:sz w:val="24"/>
          <w:szCs w:val="24"/>
        </w:rPr>
        <w:t>ивает его официальное опубликование и информирование о его принятии. Акт об утверждении результатов определения кадастровой стоимости вступает в силу 1 января года, следующего за годом проведения государственной кадастровой оценки, но не ранее чем по истеч</w:t>
      </w:r>
      <w:r>
        <w:rPr>
          <w:rFonts w:ascii="Times New Roman CYR" w:hAnsi="Times New Roman CYR" w:cs="Times New Roman CYR"/>
          <w:color w:val="000000"/>
          <w:sz w:val="24"/>
          <w:szCs w:val="24"/>
        </w:rPr>
        <w:t>ении одного месяца со дня его обнародования (официального опубликования).</w:t>
      </w:r>
    </w:p>
    <w:p w:rsidR="00E85D42" w:rsidRDefault="00E85D42"/>
    <w:p w:rsidR="00E85D42" w:rsidRDefault="008113B9">
      <w:pPr>
        <w:pStyle w:val="ab"/>
        <w:keepNext/>
        <w:numPr>
          <w:ilvl w:val="1"/>
          <w:numId w:val="17"/>
        </w:numPr>
        <w:ind w:left="0" w:firstLine="0"/>
        <w:jc w:val="center"/>
        <w:rPr>
          <w:b/>
          <w:sz w:val="24"/>
        </w:rPr>
      </w:pPr>
      <w:bookmarkStart w:id="88" w:name="_Toc511658810"/>
      <w:bookmarkStart w:id="89" w:name="_Toc11934884"/>
      <w:r>
        <w:rPr>
          <w:b/>
          <w:sz w:val="24"/>
        </w:rPr>
        <w:t>Сведения о работниках бюджетного учреждения, непосредственно осуществивших определение кадастровой стоимости, руководителе такого бюджетного учреждения</w:t>
      </w:r>
      <w:bookmarkEnd w:id="88"/>
      <w:bookmarkEnd w:id="89"/>
    </w:p>
    <w:p w:rsidR="00E85D42" w:rsidRDefault="008113B9">
      <w:pPr>
        <w:pStyle w:val="ad"/>
        <w:keepNext/>
        <w:jc w:val="right"/>
        <w:rPr>
          <w:b w:val="0"/>
          <w:i w:val="0"/>
          <w:sz w:val="24"/>
          <w:szCs w:val="24"/>
        </w:rPr>
      </w:pPr>
      <w:r>
        <w:rPr>
          <w:b w:val="0"/>
          <w:i w:val="0"/>
          <w:sz w:val="24"/>
          <w:szCs w:val="24"/>
        </w:rPr>
        <w:t>Таблица 2.6.1</w:t>
      </w:r>
    </w:p>
    <w:p w:rsidR="00E85D42" w:rsidRDefault="008113B9">
      <w:pPr>
        <w:jc w:val="center"/>
        <w:rPr>
          <w:sz w:val="24"/>
          <w:szCs w:val="24"/>
          <w:lang w:eastAsia="en-US"/>
        </w:rPr>
      </w:pPr>
      <w:r>
        <w:rPr>
          <w:sz w:val="24"/>
          <w:szCs w:val="24"/>
          <w:lang w:eastAsia="en-US"/>
        </w:rPr>
        <w:t xml:space="preserve">Сведения о </w:t>
      </w:r>
      <w:r>
        <w:rPr>
          <w:sz w:val="24"/>
          <w:szCs w:val="24"/>
          <w:lang w:eastAsia="en-US"/>
        </w:rPr>
        <w:t>работниках бюджетного учреждения, непосредственно осуществивших определение кадастровой стоимости, руководителе такого бюджетного учреждения</w:t>
      </w:r>
    </w:p>
    <w:tbl>
      <w:tblPr>
        <w:tblW w:w="5000" w:type="pct"/>
        <w:jc w:val="center"/>
        <w:tblCellMar>
          <w:left w:w="10" w:type="dxa"/>
          <w:right w:w="10" w:type="dxa"/>
        </w:tblCellMar>
        <w:tblLook w:val="04A0" w:firstRow="1" w:lastRow="0" w:firstColumn="1" w:lastColumn="0" w:noHBand="0" w:noVBand="1"/>
      </w:tblPr>
      <w:tblGrid>
        <w:gridCol w:w="364"/>
        <w:gridCol w:w="3118"/>
        <w:gridCol w:w="6088"/>
      </w:tblGrid>
      <w:tr w:rsidR="00E85D42">
        <w:tblPrEx>
          <w:tblCellMar>
            <w:top w:w="0" w:type="dxa"/>
            <w:bottom w:w="0" w:type="dxa"/>
          </w:tblCellMar>
        </w:tblPrEx>
        <w:trPr>
          <w:trHeight w:val="20"/>
          <w:tblHeader/>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 w:val="24"/>
                <w:lang w:eastAsia="en-US"/>
              </w:rPr>
            </w:pPr>
            <w:r>
              <w:rPr>
                <w:b/>
                <w:sz w:val="24"/>
                <w:lang w:eastAsia="en-US"/>
              </w:rPr>
              <w:t>Наименование показателя</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 w:val="24"/>
                <w:lang w:eastAsia="en-US"/>
              </w:rPr>
            </w:pPr>
            <w:r>
              <w:rPr>
                <w:b/>
                <w:sz w:val="24"/>
                <w:lang w:eastAsia="en-US"/>
              </w:rPr>
              <w:t>Значение показателя</w:t>
            </w:r>
          </w:p>
        </w:tc>
      </w:tr>
      <w:tr w:rsidR="00E85D42">
        <w:tblPrEx>
          <w:tblCellMar>
            <w:top w:w="0" w:type="dxa"/>
            <w:bottom w:w="0" w:type="dxa"/>
          </w:tblCellMar>
        </w:tblPrEx>
        <w:trPr>
          <w:trHeight w:val="2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b/>
                <w:sz w:val="24"/>
                <w:lang w:eastAsia="en-US"/>
              </w:rPr>
            </w:pPr>
            <w:r>
              <w:rPr>
                <w:b/>
                <w:sz w:val="24"/>
                <w:lang w:eastAsia="en-US"/>
              </w:rPr>
              <w:t>Основные сведения о бюджетном учреждении:</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r>
              <w:rPr>
                <w:sz w:val="24"/>
                <w:lang w:eastAsia="en-US"/>
              </w:rPr>
              <w:t xml:space="preserve">Организационно-правовая </w:t>
            </w:r>
            <w:r>
              <w:rPr>
                <w:sz w:val="24"/>
                <w:lang w:eastAsia="en-US"/>
              </w:rPr>
              <w:t>форма:</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r>
              <w:rPr>
                <w:sz w:val="24"/>
                <w:lang w:eastAsia="en-US"/>
              </w:rPr>
              <w:t>Государственное бюджетное учреждение</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r>
              <w:rPr>
                <w:sz w:val="24"/>
                <w:lang w:eastAsia="en-US"/>
              </w:rPr>
              <w:t>Полное наименование:</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bookmarkStart w:id="90" w:name="OLE_LINK13"/>
            <w:r>
              <w:rPr>
                <w:sz w:val="24"/>
                <w:lang w:eastAsia="en-US"/>
              </w:rPr>
              <w:t>Государственное бюджетное учреждение Республики Башкортостан «Государственная кадастровая оценка и Техническая инвентаризация»</w:t>
            </w:r>
            <w:bookmarkEnd w:id="90"/>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r>
              <w:rPr>
                <w:sz w:val="24"/>
                <w:lang w:eastAsia="en-US"/>
              </w:rPr>
              <w:t>Сокращенное наименование:</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bookmarkStart w:id="91" w:name="OLE_LINK20"/>
            <w:bookmarkStart w:id="92" w:name="OLE_LINK21"/>
            <w:r>
              <w:rPr>
                <w:sz w:val="24"/>
                <w:lang w:eastAsia="en-US"/>
              </w:rPr>
              <w:t>ГБУ РБ «ГКО и ТИ»</w:t>
            </w:r>
            <w:bookmarkEnd w:id="91"/>
            <w:bookmarkEnd w:id="92"/>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r>
              <w:rPr>
                <w:sz w:val="24"/>
                <w:lang w:eastAsia="en-US"/>
              </w:rPr>
              <w:t>Учредитель:</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bookmarkStart w:id="93" w:name="OLE_LINK5"/>
            <w:bookmarkStart w:id="94" w:name="OLE_LINK6"/>
            <w:r>
              <w:rPr>
                <w:sz w:val="24"/>
                <w:lang w:eastAsia="en-US"/>
              </w:rPr>
              <w:t>Министерство земельных и имущественных отношений Республики Башкортостан</w:t>
            </w:r>
            <w:bookmarkEnd w:id="93"/>
            <w:bookmarkEnd w:id="94"/>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r>
              <w:rPr>
                <w:sz w:val="24"/>
                <w:lang w:eastAsia="en-US"/>
              </w:rPr>
              <w:t>Реквизиты решения о создании бюджетного учреждения:</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Распоряжение Правительства РБ №53-р от 1 февраля 2017 года (решение о преобразовании ГУП БТИ РБ в ГБУ РБ «Государственная кадастро</w:t>
            </w:r>
            <w:r>
              <w:rPr>
                <w:sz w:val="24"/>
                <w:lang w:eastAsia="en-US"/>
              </w:rPr>
              <w:t>вая оценка и техническая инвентаризация»)</w:t>
            </w:r>
          </w:p>
        </w:tc>
      </w:tr>
      <w:tr w:rsidR="00E85D42">
        <w:tblPrEx>
          <w:tblCellMar>
            <w:top w:w="0" w:type="dxa"/>
            <w:bottom w:w="0" w:type="dxa"/>
          </w:tblCellMar>
        </w:tblPrEx>
        <w:trPr>
          <w:trHeight w:val="2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b/>
                <w:sz w:val="24"/>
                <w:lang w:eastAsia="en-US"/>
              </w:rPr>
            </w:pPr>
            <w:r>
              <w:rPr>
                <w:b/>
                <w:sz w:val="24"/>
                <w:lang w:eastAsia="en-US"/>
              </w:rPr>
              <w:t>Адрес (место нахождения)</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Почтовый индекс</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450097</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Субъект Российской Федерации</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Республики Башкортостан</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Город (волость и т.п.)</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Город Уфа</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Улица (проспект, переулок и т.д.)</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Улица Бессонова</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Дом (владение и т.п.)</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Дом 26</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Корпус (строение и т.п.)</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Корпус А</w:t>
            </w:r>
          </w:p>
        </w:tc>
      </w:tr>
      <w:tr w:rsidR="00E85D42">
        <w:tblPrEx>
          <w:tblCellMar>
            <w:top w:w="0" w:type="dxa"/>
            <w:bottom w:w="0" w:type="dxa"/>
          </w:tblCellMar>
        </w:tblPrEx>
        <w:trPr>
          <w:trHeight w:val="2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
                <w:sz w:val="24"/>
                <w:lang w:eastAsia="en-US"/>
              </w:rPr>
            </w:pPr>
            <w:r>
              <w:rPr>
                <w:b/>
                <w:sz w:val="24"/>
                <w:lang w:eastAsia="en-US"/>
              </w:rPr>
              <w:t>Сведения о регистрации</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Способ образования</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Создание юридического лица путем реорганизации в форме преобразования</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ОГРН</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bookmarkStart w:id="95" w:name="OLE_LINK14"/>
            <w:bookmarkStart w:id="96" w:name="OLE_LINK15"/>
            <w:r>
              <w:rPr>
                <w:sz w:val="24"/>
                <w:lang w:eastAsia="en-US"/>
              </w:rPr>
              <w:t>1170280043834</w:t>
            </w:r>
            <w:bookmarkEnd w:id="95"/>
            <w:bookmarkEnd w:id="96"/>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Дата регистрации</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sz w:val="24"/>
                <w:lang w:eastAsia="en-US"/>
              </w:rPr>
            </w:pPr>
            <w:r>
              <w:rPr>
                <w:sz w:val="24"/>
                <w:lang w:eastAsia="en-US"/>
              </w:rPr>
              <w:t>30.06.2017</w:t>
            </w:r>
          </w:p>
        </w:tc>
      </w:tr>
      <w:tr w:rsidR="00E85D42">
        <w:tblPrEx>
          <w:tblCellMar>
            <w:top w:w="0" w:type="dxa"/>
            <w:bottom w:w="0" w:type="dxa"/>
          </w:tblCellMar>
        </w:tblPrEx>
        <w:trPr>
          <w:trHeight w:val="2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b/>
                <w:sz w:val="24"/>
                <w:lang w:eastAsia="en-US"/>
              </w:rPr>
            </w:pPr>
            <w:r>
              <w:rPr>
                <w:b/>
                <w:sz w:val="24"/>
                <w:lang w:eastAsia="en-US"/>
              </w:rPr>
              <w:t>Сведения о руководителе бюджетного учреждения:</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r>
              <w:rPr>
                <w:sz w:val="24"/>
                <w:lang w:eastAsia="en-US"/>
              </w:rPr>
              <w:t>Ф.И.О.</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Хазиев Рамзиль Разитович</w:t>
            </w:r>
          </w:p>
        </w:tc>
      </w:tr>
      <w:tr w:rsidR="00E85D42">
        <w:tblPrEx>
          <w:tblCellMar>
            <w:top w:w="0" w:type="dxa"/>
            <w:bottom w:w="0" w:type="dxa"/>
          </w:tblCellMar>
        </w:tblPrEx>
        <w:trPr>
          <w:trHeight w:val="20"/>
          <w:jc w:val="center"/>
        </w:trPr>
        <w:tc>
          <w:tcPr>
            <w:tcW w:w="3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lang w:eastAsia="en-US"/>
              </w:rPr>
            </w:pPr>
            <w:r>
              <w:rPr>
                <w:sz w:val="24"/>
                <w:lang w:eastAsia="en-US"/>
              </w:rPr>
              <w:t>Должность:</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Руководитель ГБУ РБ «ГКО и ТИ»</w:t>
            </w:r>
          </w:p>
        </w:tc>
      </w:tr>
      <w:tr w:rsidR="00E85D42">
        <w:tblPrEx>
          <w:tblCellMar>
            <w:top w:w="0" w:type="dxa"/>
            <w:bottom w:w="0" w:type="dxa"/>
          </w:tblCellMar>
        </w:tblPrEx>
        <w:trPr>
          <w:trHeight w:val="2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b/>
                <w:sz w:val="24"/>
                <w:lang w:eastAsia="en-US"/>
              </w:rPr>
            </w:pPr>
            <w:r>
              <w:rPr>
                <w:b/>
                <w:sz w:val="24"/>
                <w:lang w:eastAsia="en-US"/>
              </w:rPr>
              <w:t>Сведения о работниках бюджетного учреждения, непосредственно осуществивших определение кадастровой стоимости:</w:t>
            </w:r>
          </w:p>
        </w:tc>
      </w:tr>
      <w:tr w:rsidR="00E85D42">
        <w:tblPrEx>
          <w:tblCellMar>
            <w:top w:w="0" w:type="dxa"/>
            <w:bottom w:w="0" w:type="dxa"/>
          </w:tblCellMar>
        </w:tblPrEx>
        <w:trPr>
          <w:trHeight w:val="20"/>
          <w:jc w:val="center"/>
        </w:trPr>
        <w:tc>
          <w:tcPr>
            <w:tcW w:w="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r>
              <w:rPr>
                <w:color w:val="000000"/>
                <w:sz w:val="24"/>
                <w:lang w:eastAsia="en-US"/>
              </w:rPr>
              <w:t>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Ф.И.О.</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Саитгалин Рустем Азаматович</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Должность:</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 xml:space="preserve">Начальник отдела </w:t>
            </w:r>
            <w:r>
              <w:rPr>
                <w:sz w:val="24"/>
                <w:lang w:eastAsia="en-US"/>
              </w:rPr>
              <w:t>государственной кадастровой оценки</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 xml:space="preserve">Гражданство: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Российская Федерация</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Сведения об образовании, профессиональной переподготовке:</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 xml:space="preserve">Диплом о высшем профессиональном образовании по специальности «Промышленная электроника» № ИВС 0141981 от 19.06.2003г., </w:t>
            </w:r>
            <w:r>
              <w:rPr>
                <w:sz w:val="24"/>
                <w:lang w:eastAsia="en-US"/>
              </w:rPr>
              <w:t>регистрационный номер П211, выдан 31 июля 2003г. Уфимским государственным авиационным техническим университетом</w:t>
            </w:r>
          </w:p>
          <w:p w:rsidR="00E85D42" w:rsidRDefault="008113B9">
            <w:pPr>
              <w:ind w:firstLine="62"/>
              <w:rPr>
                <w:sz w:val="24"/>
                <w:lang w:eastAsia="en-US"/>
              </w:rPr>
            </w:pPr>
            <w:r>
              <w:rPr>
                <w:sz w:val="24"/>
                <w:lang w:eastAsia="en-US"/>
              </w:rPr>
              <w:t>Диплом о профессиональной переподготовке по программе «Оценка стоимости предприятия (бизнеса)», ПП-II № 039499, регистрационный номер 244, выдан</w:t>
            </w:r>
            <w:r>
              <w:rPr>
                <w:sz w:val="24"/>
                <w:lang w:eastAsia="en-US"/>
              </w:rPr>
              <w:t xml:space="preserve"> 28 июня 2013г. ГБОУ ВПО «Башкирская академия государственной службы и управления при Президенте Республики Башкортостан».</w:t>
            </w:r>
          </w:p>
          <w:p w:rsidR="00E85D42" w:rsidRDefault="008113B9">
            <w:pPr>
              <w:ind w:firstLine="62"/>
              <w:rPr>
                <w:sz w:val="24"/>
                <w:lang w:eastAsia="en-US"/>
              </w:rPr>
            </w:pPr>
            <w:r>
              <w:rPr>
                <w:sz w:val="24"/>
                <w:lang w:eastAsia="en-US"/>
              </w:rPr>
              <w:t xml:space="preserve">Квалификационный аттестат в области оценочной деятельности по направлению оценочной деятельности "Оценка недвижимости» № 011026-1  </w:t>
            </w:r>
          </w:p>
          <w:p w:rsidR="00E85D42" w:rsidRDefault="008113B9">
            <w:pPr>
              <w:ind w:firstLine="62"/>
              <w:rPr>
                <w:sz w:val="24"/>
                <w:lang w:eastAsia="en-US"/>
              </w:rPr>
            </w:pPr>
            <w:r>
              <w:rPr>
                <w:sz w:val="24"/>
                <w:lang w:eastAsia="en-US"/>
              </w:rPr>
              <w:t>Д</w:t>
            </w:r>
            <w:r>
              <w:rPr>
                <w:sz w:val="24"/>
                <w:lang w:eastAsia="en-US"/>
              </w:rPr>
              <w:t>ата выдачи: 17.04.2018г.</w:t>
            </w:r>
          </w:p>
          <w:p w:rsidR="00E85D42" w:rsidRDefault="008113B9">
            <w:pPr>
              <w:ind w:firstLine="62"/>
              <w:rPr>
                <w:sz w:val="24"/>
                <w:lang w:eastAsia="en-US"/>
              </w:rPr>
            </w:pPr>
            <w:r>
              <w:rPr>
                <w:sz w:val="24"/>
                <w:lang w:eastAsia="en-US"/>
              </w:rPr>
              <w:t>Действителен до: 17.04.2021г.</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Сведения об отсутствии судимости:</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Судимость отсутствует</w:t>
            </w:r>
          </w:p>
        </w:tc>
      </w:tr>
      <w:tr w:rsidR="00E85D42">
        <w:tblPrEx>
          <w:tblCellMar>
            <w:top w:w="0" w:type="dxa"/>
            <w:bottom w:w="0" w:type="dxa"/>
          </w:tblCellMar>
        </w:tblPrEx>
        <w:trPr>
          <w:trHeight w:val="20"/>
          <w:jc w:val="center"/>
        </w:trPr>
        <w:tc>
          <w:tcPr>
            <w:tcW w:w="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Ф.И.О.</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Тусалина Альбина Явдатовна</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Должность:</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Заместитель начальника отдела государственной кадастровой оценки</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 xml:space="preserve">Гражданство: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 xml:space="preserve">Российская </w:t>
            </w:r>
            <w:r>
              <w:rPr>
                <w:sz w:val="24"/>
                <w:lang w:eastAsia="en-US"/>
              </w:rPr>
              <w:t>Федерация</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Сведения об образовании, профессиональной переподготовке:</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Диплом о высшем профессиональном образовании по специальности «География» № ВСБ 0916318 от 05.06.2004г., регистрационный номер 28, выдан 11 июня 2004г. ГОУ ВПО «Башкирский государственны</w:t>
            </w:r>
            <w:r>
              <w:rPr>
                <w:sz w:val="24"/>
                <w:lang w:eastAsia="en-US"/>
              </w:rPr>
              <w:t>й университет»</w:t>
            </w:r>
          </w:p>
          <w:p w:rsidR="00E85D42" w:rsidRDefault="008113B9">
            <w:pPr>
              <w:ind w:firstLine="62"/>
              <w:rPr>
                <w:sz w:val="24"/>
                <w:lang w:eastAsia="en-US"/>
              </w:rPr>
            </w:pPr>
            <w:r>
              <w:rPr>
                <w:sz w:val="24"/>
                <w:lang w:eastAsia="en-US"/>
              </w:rPr>
              <w:t>Диплом о профессиональной переподготовке по программе «Оценка стоимости предприятия (бизнеса)» № ПП-I №270794, регистрационный номер 132, выдан 30 июня 2009 г. Государственным образовательным учреждением высшего профессионального образования</w:t>
            </w:r>
            <w:r>
              <w:rPr>
                <w:sz w:val="24"/>
                <w:lang w:eastAsia="en-US"/>
              </w:rPr>
              <w:t xml:space="preserve"> «Башкирская академия государственной службы и управления при Президенте Республики Башкортостан»</w:t>
            </w:r>
          </w:p>
          <w:p w:rsidR="00E85D42" w:rsidRDefault="008113B9">
            <w:pPr>
              <w:ind w:firstLine="62"/>
              <w:rPr>
                <w:sz w:val="24"/>
                <w:lang w:eastAsia="en-US"/>
              </w:rPr>
            </w:pPr>
            <w:r>
              <w:rPr>
                <w:sz w:val="24"/>
                <w:lang w:eastAsia="en-US"/>
              </w:rPr>
              <w:t>Квалификационный аттестат в области оценочной деятельности по направлению оценочной деятельности "Оценка недвижимости" № 007603-1</w:t>
            </w:r>
          </w:p>
          <w:p w:rsidR="00E85D42" w:rsidRDefault="008113B9">
            <w:pPr>
              <w:rPr>
                <w:sz w:val="24"/>
                <w:lang w:eastAsia="en-US"/>
              </w:rPr>
            </w:pPr>
            <w:r>
              <w:rPr>
                <w:sz w:val="24"/>
                <w:lang w:eastAsia="en-US"/>
              </w:rPr>
              <w:t>Дата выдачи: 29.03.2018г.</w:t>
            </w:r>
          </w:p>
          <w:p w:rsidR="00E85D42" w:rsidRDefault="008113B9">
            <w:pPr>
              <w:rPr>
                <w:sz w:val="24"/>
                <w:lang w:eastAsia="en-US"/>
              </w:rPr>
            </w:pPr>
            <w:r>
              <w:rPr>
                <w:sz w:val="24"/>
                <w:lang w:eastAsia="en-US"/>
              </w:rPr>
              <w:t>Действителен до: 29.03.2021г.</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Сведения об отсутствии судимости:</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Судимость отсутствует</w:t>
            </w:r>
          </w:p>
        </w:tc>
      </w:tr>
      <w:tr w:rsidR="00E85D42">
        <w:tblPrEx>
          <w:tblCellMar>
            <w:top w:w="0" w:type="dxa"/>
            <w:bottom w:w="0" w:type="dxa"/>
          </w:tblCellMar>
        </w:tblPrEx>
        <w:trPr>
          <w:trHeight w:val="20"/>
          <w:jc w:val="center"/>
        </w:trPr>
        <w:tc>
          <w:tcPr>
            <w:tcW w:w="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Ф.И.О.</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Елсукова Надежда Николаевна</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Должность:</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Главный специалист отдела государственной кадастровой оценки</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 xml:space="preserve">Гражданство: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Российская Федерация</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 xml:space="preserve">Сведения об </w:t>
            </w:r>
            <w:r>
              <w:rPr>
                <w:sz w:val="24"/>
                <w:lang w:eastAsia="en-US"/>
              </w:rPr>
              <w:t>образовании, профессиональной переподготовке:</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Диплом о высшем профессиональном образовании по специальности «Экономика и управление на предприятии (машиностроение)» № ВСГ 3505367 от 28.12.2008г., регистрационный номер 55111, выдан 28.12.2008г. Государствен</w:t>
            </w:r>
            <w:r>
              <w:rPr>
                <w:sz w:val="24"/>
                <w:lang w:eastAsia="en-US"/>
              </w:rPr>
              <w:t>ным образовательным учреждением высшего профессионального образования «Московский государственный технический университет «МАМИ»</w:t>
            </w:r>
          </w:p>
          <w:p w:rsidR="00E85D42" w:rsidRDefault="008113B9">
            <w:r>
              <w:rPr>
                <w:sz w:val="24"/>
                <w:lang w:eastAsia="en-US"/>
              </w:rPr>
              <w:t>Диплом о профессиональной переподготовке по программе «Оценка стоимости предприятия (бизнеса)» ПП-</w:t>
            </w:r>
            <w:r>
              <w:rPr>
                <w:sz w:val="24"/>
                <w:lang w:val="en-US" w:eastAsia="en-US"/>
              </w:rPr>
              <w:t>I</w:t>
            </w:r>
            <w:r>
              <w:rPr>
                <w:sz w:val="24"/>
                <w:lang w:eastAsia="en-US"/>
              </w:rPr>
              <w:t xml:space="preserve"> № 609653, регистрационный н</w:t>
            </w:r>
            <w:r>
              <w:rPr>
                <w:sz w:val="24"/>
                <w:lang w:eastAsia="en-US"/>
              </w:rPr>
              <w:t>омер 280, выдан 04.12.2009 г. Государственным образовательным учреждением высшего профессионального образования «Башкирская академия государственной службы и управления при Президенте Республики Башкортостан»</w:t>
            </w:r>
          </w:p>
          <w:p w:rsidR="00E85D42" w:rsidRDefault="008113B9">
            <w:pPr>
              <w:rPr>
                <w:sz w:val="24"/>
                <w:lang w:eastAsia="en-US"/>
              </w:rPr>
            </w:pPr>
            <w:r>
              <w:rPr>
                <w:sz w:val="24"/>
                <w:lang w:eastAsia="en-US"/>
              </w:rPr>
              <w:t>Квалификационный аттестат в области оценочной д</w:t>
            </w:r>
            <w:r>
              <w:rPr>
                <w:sz w:val="24"/>
                <w:lang w:eastAsia="en-US"/>
              </w:rPr>
              <w:t>еятельности по направлению оценочной деятельности "Оценка недвижимости" № 31.</w:t>
            </w:r>
          </w:p>
          <w:p w:rsidR="00E85D42" w:rsidRDefault="008113B9">
            <w:pPr>
              <w:rPr>
                <w:sz w:val="24"/>
                <w:lang w:eastAsia="en-US"/>
              </w:rPr>
            </w:pPr>
            <w:r>
              <w:rPr>
                <w:sz w:val="24"/>
                <w:lang w:eastAsia="en-US"/>
              </w:rPr>
              <w:t>Дата выдачи: 07.12.2017г.</w:t>
            </w:r>
          </w:p>
          <w:p w:rsidR="00E85D42" w:rsidRDefault="008113B9">
            <w:pPr>
              <w:rPr>
                <w:sz w:val="24"/>
                <w:lang w:eastAsia="en-US"/>
              </w:rPr>
            </w:pPr>
            <w:r>
              <w:rPr>
                <w:sz w:val="24"/>
                <w:lang w:eastAsia="en-US"/>
              </w:rPr>
              <w:t>Действителен до: 07.12.2020г.</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Сведения об отсутствии судимости:</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Судимость отсутствует</w:t>
            </w:r>
          </w:p>
        </w:tc>
      </w:tr>
      <w:tr w:rsidR="00E85D42">
        <w:tblPrEx>
          <w:tblCellMar>
            <w:top w:w="0" w:type="dxa"/>
            <w:bottom w:w="0" w:type="dxa"/>
          </w:tblCellMar>
        </w:tblPrEx>
        <w:trPr>
          <w:trHeight w:val="20"/>
          <w:jc w:val="center"/>
        </w:trPr>
        <w:tc>
          <w:tcPr>
            <w:tcW w:w="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Ф.И.О.</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Халимов Артур Раизович</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Должность:</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Главный специалист</w:t>
            </w:r>
            <w:r>
              <w:rPr>
                <w:sz w:val="24"/>
                <w:lang w:eastAsia="en-US"/>
              </w:rPr>
              <w:t xml:space="preserve"> отдела государственной кадастровой оценки</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 xml:space="preserve">Гражданство: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Российская Федерация</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Сведения об образовании, профессиональной переподготовке:</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sz w:val="24"/>
                <w:lang w:eastAsia="en-US"/>
              </w:rPr>
            </w:pPr>
            <w:r>
              <w:rPr>
                <w:sz w:val="24"/>
                <w:lang w:eastAsia="en-US"/>
              </w:rPr>
              <w:t xml:space="preserve">Диплом о высшем профессиональном образовании по специальности «Маркетолог по специальности «Маркетинг»» № ВСГ </w:t>
            </w:r>
            <w:r>
              <w:rPr>
                <w:sz w:val="24"/>
                <w:lang w:eastAsia="en-US"/>
              </w:rPr>
              <w:t>3161084 от 03.06.2008г., регистрационный номер 124, выдан 04.07.2008г. Государственным образовательным учреждением высшего профессионального образования «Башкирский государственный университет»</w:t>
            </w:r>
          </w:p>
          <w:p w:rsidR="00E85D42" w:rsidRDefault="008113B9">
            <w:r>
              <w:rPr>
                <w:sz w:val="24"/>
                <w:lang w:eastAsia="en-US"/>
              </w:rPr>
              <w:t xml:space="preserve">Диплом о профессиональной переподготовке по программе «Оценка </w:t>
            </w:r>
            <w:r>
              <w:rPr>
                <w:sz w:val="24"/>
                <w:lang w:eastAsia="en-US"/>
              </w:rPr>
              <w:t>стоимости предприятия (бизнеса)» № ПП-</w:t>
            </w:r>
            <w:r>
              <w:rPr>
                <w:sz w:val="24"/>
                <w:lang w:val="en-US" w:eastAsia="en-US"/>
              </w:rPr>
              <w:t>I</w:t>
            </w:r>
            <w:r>
              <w:rPr>
                <w:sz w:val="24"/>
                <w:lang w:eastAsia="en-US"/>
              </w:rPr>
              <w:t xml:space="preserve"> № 270893, регистрационный номер 29, выдан 04.03.2011 г. Государственным образовательным учреждением высшего профессионального образования «Башкирская академия государственной службы и управления при Президенте Респуб</w:t>
            </w:r>
            <w:r>
              <w:rPr>
                <w:sz w:val="24"/>
                <w:lang w:eastAsia="en-US"/>
              </w:rPr>
              <w:t>лики Башкортостан»</w:t>
            </w:r>
          </w:p>
          <w:p w:rsidR="00E85D42" w:rsidRDefault="008113B9">
            <w:pPr>
              <w:rPr>
                <w:sz w:val="24"/>
                <w:lang w:eastAsia="en-US"/>
              </w:rPr>
            </w:pPr>
            <w:r>
              <w:rPr>
                <w:sz w:val="24"/>
                <w:lang w:eastAsia="en-US"/>
              </w:rPr>
              <w:t>Квалификационный аттестат в области оценочной деятельности по направлению оценочной деятельности "Оценка недвижимости" № 001193-1.</w:t>
            </w:r>
          </w:p>
          <w:p w:rsidR="00E85D42" w:rsidRDefault="008113B9">
            <w:pPr>
              <w:rPr>
                <w:sz w:val="24"/>
                <w:lang w:eastAsia="en-US"/>
              </w:rPr>
            </w:pPr>
            <w:r>
              <w:rPr>
                <w:sz w:val="24"/>
                <w:lang w:eastAsia="en-US"/>
              </w:rPr>
              <w:t>Дата выдачи: 07.12.2017г.</w:t>
            </w:r>
          </w:p>
          <w:p w:rsidR="00E85D42" w:rsidRDefault="008113B9">
            <w:pPr>
              <w:rPr>
                <w:sz w:val="24"/>
                <w:lang w:eastAsia="en-US"/>
              </w:rPr>
            </w:pPr>
            <w:r>
              <w:rPr>
                <w:sz w:val="24"/>
                <w:lang w:eastAsia="en-US"/>
              </w:rPr>
              <w:t>Действителен до: 07.12.2020г.</w:t>
            </w:r>
          </w:p>
        </w:tc>
      </w:tr>
      <w:tr w:rsidR="00E85D42">
        <w:tblPrEx>
          <w:tblCellMar>
            <w:top w:w="0" w:type="dxa"/>
            <w:bottom w:w="0" w:type="dxa"/>
          </w:tblCellMar>
        </w:tblPrEx>
        <w:trPr>
          <w:trHeight w:val="20"/>
          <w:jc w:val="center"/>
        </w:trPr>
        <w:tc>
          <w:tcPr>
            <w:tcW w:w="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sz w:val="24"/>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Сведения об отсутствии судимости:</w:t>
            </w:r>
          </w:p>
        </w:tc>
        <w:tc>
          <w:tcPr>
            <w:tcW w:w="6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62"/>
              <w:rPr>
                <w:sz w:val="24"/>
                <w:lang w:eastAsia="en-US"/>
              </w:rPr>
            </w:pPr>
            <w:r>
              <w:rPr>
                <w:sz w:val="24"/>
                <w:lang w:eastAsia="en-US"/>
              </w:rPr>
              <w:t xml:space="preserve">Судимость </w:t>
            </w:r>
            <w:r>
              <w:rPr>
                <w:sz w:val="24"/>
                <w:lang w:eastAsia="en-US"/>
              </w:rPr>
              <w:t xml:space="preserve">отсутствует </w:t>
            </w:r>
          </w:p>
        </w:tc>
      </w:tr>
    </w:tbl>
    <w:p w:rsidR="00E85D42" w:rsidRDefault="00E85D42">
      <w:pPr>
        <w:ind w:left="709"/>
      </w:pPr>
      <w:bookmarkStart w:id="97" w:name="_Toc509576718"/>
    </w:p>
    <w:p w:rsidR="00E85D42" w:rsidRDefault="008113B9">
      <w:pPr>
        <w:pStyle w:val="ab"/>
        <w:keepNext/>
        <w:numPr>
          <w:ilvl w:val="1"/>
          <w:numId w:val="17"/>
        </w:numPr>
        <w:ind w:left="0" w:firstLine="0"/>
        <w:jc w:val="center"/>
        <w:rPr>
          <w:b/>
          <w:sz w:val="24"/>
        </w:rPr>
      </w:pPr>
      <w:bookmarkStart w:id="98" w:name="_Toc11934885"/>
      <w:r>
        <w:rPr>
          <w:b/>
          <w:sz w:val="24"/>
        </w:rPr>
        <w:t>Сведения о допущениях, использованных при определении кадастровой стоимости</w:t>
      </w:r>
      <w:bookmarkEnd w:id="97"/>
      <w:bookmarkEnd w:id="98"/>
    </w:p>
    <w:p w:rsidR="00E85D42" w:rsidRDefault="008113B9">
      <w:pPr>
        <w:jc w:val="both"/>
        <w:rPr>
          <w:b/>
          <w:sz w:val="24"/>
          <w:lang w:eastAsia="en-US"/>
        </w:rPr>
      </w:pPr>
      <w:bookmarkStart w:id="99" w:name="_Toc340258558"/>
      <w:bookmarkStart w:id="100" w:name="_Toc436155400"/>
      <w:r>
        <w:rPr>
          <w:b/>
          <w:sz w:val="24"/>
          <w:lang w:eastAsia="en-US"/>
        </w:rPr>
        <w:t>Общие допущения</w:t>
      </w:r>
      <w:bookmarkEnd w:id="99"/>
      <w:bookmarkEnd w:id="100"/>
    </w:p>
    <w:p w:rsidR="00E85D42" w:rsidRDefault="008113B9">
      <w:pPr>
        <w:jc w:val="both"/>
        <w:rPr>
          <w:sz w:val="24"/>
          <w:lang w:eastAsia="en-US"/>
        </w:rPr>
      </w:pPr>
      <w:r>
        <w:rPr>
          <w:sz w:val="24"/>
          <w:lang w:eastAsia="en-US"/>
        </w:rPr>
        <w:t xml:space="preserve">В данном разделе приводится перечень всех допущений и ограничительных условий, использованных при проведении работ по определению кадастровой </w:t>
      </w:r>
      <w:r>
        <w:rPr>
          <w:sz w:val="24"/>
          <w:lang w:eastAsia="en-US"/>
        </w:rPr>
        <w:t>стоимости земельных участков:</w:t>
      </w:r>
    </w:p>
    <w:p w:rsidR="00E85D42" w:rsidRDefault="008113B9">
      <w:pPr>
        <w:jc w:val="both"/>
        <w:rPr>
          <w:sz w:val="24"/>
        </w:rPr>
      </w:pPr>
      <w:bookmarkStart w:id="101" w:name="_Toc340258559"/>
      <w:r>
        <w:rPr>
          <w:sz w:val="24"/>
        </w:rPr>
        <w:t>1) полученная в рамках данного Отчета кадастровая стоимость может быть использована для целей налогообложения и исчисления арендных платежей, на основе рыночной информации и иной информации, связанной с экономическими характер</w:t>
      </w:r>
      <w:r>
        <w:rPr>
          <w:sz w:val="24"/>
        </w:rPr>
        <w:t>истиками использования объекта недвижимости, установленного в рамках данного Отчета;</w:t>
      </w:r>
    </w:p>
    <w:p w:rsidR="00E85D42" w:rsidRDefault="008113B9">
      <w:pPr>
        <w:jc w:val="both"/>
        <w:rPr>
          <w:sz w:val="24"/>
          <w:lang w:eastAsia="en-US"/>
        </w:rPr>
      </w:pPr>
      <w:r>
        <w:rPr>
          <w:sz w:val="24"/>
          <w:lang w:eastAsia="en-US"/>
        </w:rPr>
        <w:t>2) данные, приведенные в Отчете об оценке, являются достоверными, точными и могут быть использованы только для целей настоящей оценки;</w:t>
      </w:r>
    </w:p>
    <w:p w:rsidR="00E85D42" w:rsidRDefault="008113B9">
      <w:pPr>
        <w:jc w:val="both"/>
        <w:rPr>
          <w:sz w:val="24"/>
          <w:lang w:eastAsia="en-US"/>
        </w:rPr>
      </w:pPr>
      <w:r>
        <w:rPr>
          <w:sz w:val="24"/>
          <w:lang w:eastAsia="en-US"/>
        </w:rPr>
        <w:t>3) содержащиеся в Отчете об оценке а</w:t>
      </w:r>
      <w:r>
        <w:rPr>
          <w:sz w:val="24"/>
          <w:lang w:eastAsia="en-US"/>
        </w:rPr>
        <w:t>нализ, мнения и заключения принадлежат Учреждению и действительны строго в пределах ограничительных условий и допущений, являющихся частью Отчета об оценке;</w:t>
      </w:r>
    </w:p>
    <w:p w:rsidR="00E85D42" w:rsidRDefault="008113B9">
      <w:pPr>
        <w:jc w:val="both"/>
        <w:rPr>
          <w:sz w:val="24"/>
          <w:lang w:eastAsia="en-US"/>
        </w:rPr>
      </w:pPr>
      <w:r>
        <w:rPr>
          <w:sz w:val="24"/>
          <w:lang w:eastAsia="en-US"/>
        </w:rPr>
        <w:t xml:space="preserve">4) Учреждение не имеет ни настоящей, ни ожидаемой заинтересованности в объектах оценки и действует </w:t>
      </w:r>
      <w:r>
        <w:rPr>
          <w:sz w:val="24"/>
          <w:lang w:eastAsia="en-US"/>
        </w:rPr>
        <w:t>непредвзято и без предубеждения при определении кадастровой стоимости;</w:t>
      </w:r>
    </w:p>
    <w:p w:rsidR="00E85D42" w:rsidRDefault="008113B9">
      <w:pPr>
        <w:jc w:val="both"/>
        <w:rPr>
          <w:sz w:val="24"/>
          <w:lang w:eastAsia="en-US"/>
        </w:rPr>
      </w:pPr>
      <w:r>
        <w:rPr>
          <w:sz w:val="24"/>
          <w:lang w:eastAsia="en-US"/>
        </w:rPr>
        <w:t>5) не допускается вмешательство иных заинтересованных лиц в деятельность Учреждения, если это может негативно повлиять на достоверность результата оценки объектов оценки, в том числе ог</w:t>
      </w:r>
      <w:r>
        <w:rPr>
          <w:sz w:val="24"/>
          <w:lang w:eastAsia="en-US"/>
        </w:rPr>
        <w:t>раничение круга вопросов, подлежащих выяснению или определению при проведении оценки объектов оценки;</w:t>
      </w:r>
    </w:p>
    <w:p w:rsidR="00E85D42" w:rsidRDefault="008113B9">
      <w:pPr>
        <w:jc w:val="both"/>
        <w:rPr>
          <w:sz w:val="24"/>
          <w:lang w:eastAsia="en-US"/>
        </w:rPr>
      </w:pPr>
      <w:r>
        <w:rPr>
          <w:sz w:val="24"/>
          <w:lang w:eastAsia="en-US"/>
        </w:rPr>
        <w:t xml:space="preserve">6) сотрудники Учреждения, принимавшие участие в определении кадастровой стоимости, обладают необходимым уровнем образования и квалификации, </w:t>
      </w:r>
      <w:r>
        <w:rPr>
          <w:sz w:val="24"/>
          <w:lang w:eastAsia="en-US"/>
        </w:rPr>
        <w:t>соответствующим требованиям законодательства Российской Федерации;</w:t>
      </w:r>
    </w:p>
    <w:p w:rsidR="00E85D42" w:rsidRDefault="008113B9">
      <w:pPr>
        <w:jc w:val="both"/>
        <w:rPr>
          <w:sz w:val="24"/>
          <w:lang w:eastAsia="en-US"/>
        </w:rPr>
      </w:pPr>
      <w:r>
        <w:rPr>
          <w:sz w:val="24"/>
          <w:lang w:eastAsia="en-US"/>
        </w:rPr>
        <w:t xml:space="preserve">7) в соответствии с п.1.11 Методических указаний определение кадастровой стоимости осуществляется без учета обременений (ограничений) объекта недвижимости, за исключением публично-правовых </w:t>
      </w:r>
      <w:r>
        <w:rPr>
          <w:sz w:val="24"/>
          <w:lang w:eastAsia="en-US"/>
        </w:rPr>
        <w:t>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w:t>
      </w:r>
      <w:r>
        <w:rPr>
          <w:sz w:val="24"/>
          <w:lang w:eastAsia="en-US"/>
        </w:rPr>
        <w:t>аной окружающей среды, безопасностью населения и государства.</w:t>
      </w:r>
    </w:p>
    <w:p w:rsidR="00E85D42" w:rsidRDefault="008113B9">
      <w:pPr>
        <w:jc w:val="both"/>
        <w:rPr>
          <w:sz w:val="24"/>
          <w:lang w:eastAsia="en-US"/>
        </w:rPr>
      </w:pPr>
      <w:r>
        <w:rPr>
          <w:sz w:val="24"/>
          <w:lang w:eastAsia="en-US"/>
        </w:rPr>
        <w:t xml:space="preserve">8) Отдельные части настоящего Отчета об оценке не могут трактоваться раздельно, а только в связи с полным его текстом, с учетом всех содержащихся в нем допущений и ограничений. Ни весь Отчет об </w:t>
      </w:r>
      <w:r>
        <w:rPr>
          <w:sz w:val="24"/>
          <w:lang w:eastAsia="en-US"/>
        </w:rPr>
        <w:t>оценке, ни любая его часть (особенно любые заключения о стоимости и данные о сотрудниках Учреждения, принимавших участие в работе) не могут быть использованы в целях рекламы, для мероприятий по связям с общественностью;</w:t>
      </w:r>
    </w:p>
    <w:p w:rsidR="00E85D42" w:rsidRDefault="008113B9">
      <w:pPr>
        <w:jc w:val="both"/>
        <w:rPr>
          <w:sz w:val="24"/>
          <w:lang w:eastAsia="en-US"/>
        </w:rPr>
      </w:pPr>
      <w:r>
        <w:rPr>
          <w:sz w:val="24"/>
          <w:lang w:eastAsia="en-US"/>
        </w:rPr>
        <w:t>9) Отчет об оценке содержит професси</w:t>
      </w:r>
      <w:r>
        <w:rPr>
          <w:sz w:val="24"/>
          <w:lang w:eastAsia="en-US"/>
        </w:rPr>
        <w:t xml:space="preserve">ональное мнение Учреждения относительно кадастровой стоимости объектов оценки; </w:t>
      </w:r>
    </w:p>
    <w:p w:rsidR="00E85D42" w:rsidRDefault="008113B9">
      <w:pPr>
        <w:jc w:val="both"/>
        <w:rPr>
          <w:sz w:val="24"/>
          <w:lang w:eastAsia="en-US"/>
        </w:rPr>
      </w:pPr>
      <w:r>
        <w:rPr>
          <w:sz w:val="24"/>
          <w:lang w:eastAsia="en-US"/>
        </w:rPr>
        <w:t>10) Данная оценка отражает стоимость объектов оценки по состоянию на 01.01.2019. Изменение состояния рынка после даты оценки может привести к уменьшению или увеличению стоимост</w:t>
      </w:r>
      <w:r>
        <w:rPr>
          <w:sz w:val="24"/>
          <w:lang w:eastAsia="en-US"/>
        </w:rPr>
        <w:t>и, установленной на фактическую дату оценки;</w:t>
      </w:r>
    </w:p>
    <w:p w:rsidR="00E85D42" w:rsidRDefault="008113B9">
      <w:pPr>
        <w:jc w:val="both"/>
        <w:rPr>
          <w:sz w:val="24"/>
          <w:lang w:eastAsia="en-US"/>
        </w:rPr>
      </w:pPr>
      <w:r>
        <w:rPr>
          <w:sz w:val="24"/>
          <w:lang w:eastAsia="en-US"/>
        </w:rPr>
        <w:t>11) в соответствии с ч.5 ст.13 ФЗ №237, при определении кадастровой стоимости объектами оценки являются объекты недвижимости, сведения о которых содержатся в ЕГРН, актуальные по состоянию на 1 января года опреде</w:t>
      </w:r>
      <w:r>
        <w:rPr>
          <w:sz w:val="24"/>
          <w:lang w:eastAsia="en-US"/>
        </w:rPr>
        <w:t>ления кадастровой стоимости.</w:t>
      </w:r>
    </w:p>
    <w:p w:rsidR="00E85D42" w:rsidRDefault="008113B9">
      <w:pPr>
        <w:jc w:val="both"/>
        <w:rPr>
          <w:sz w:val="24"/>
          <w:lang w:eastAsia="en-US"/>
        </w:rPr>
      </w:pPr>
      <w:r>
        <w:rPr>
          <w:sz w:val="24"/>
          <w:lang w:eastAsia="en-US"/>
        </w:rPr>
        <w:t>12) в соответствии со ст. 13 Закона Перечень объектов недвижимости, подлежащих государственной кадастровой оценке, формируется органом регистрации прав на основании решения о проведении государственной кадастровой оценки. При ф</w:t>
      </w:r>
      <w:r>
        <w:rPr>
          <w:sz w:val="24"/>
          <w:lang w:eastAsia="en-US"/>
        </w:rPr>
        <w:t>ормировании Перечня объектов недвижимости указываются количественные и качественные характеристики объектов недвижимости, необходимые для проведения государственной кадастровой оценки и содержащиеся в ЕГРН, а также в иных фондах данных, базах данных и доку</w:t>
      </w:r>
      <w:r>
        <w:rPr>
          <w:sz w:val="24"/>
          <w:lang w:eastAsia="en-US"/>
        </w:rPr>
        <w:t>ментах, имеющихся в распоряжении Росреестра. Информация, предоставленная Министерством земельных и имущественных отношений Республики Башкортостан ГБУ РБ «ГКО и ТИ», считается достаточной и достоверной для целей проведения государственной кадастровой оценк</w:t>
      </w:r>
      <w:r>
        <w:rPr>
          <w:sz w:val="24"/>
          <w:lang w:eastAsia="en-US"/>
        </w:rPr>
        <w:t>и.</w:t>
      </w:r>
    </w:p>
    <w:p w:rsidR="00E85D42" w:rsidRDefault="008113B9">
      <w:pPr>
        <w:jc w:val="both"/>
        <w:rPr>
          <w:sz w:val="24"/>
          <w:lang w:eastAsia="en-US"/>
        </w:rPr>
      </w:pPr>
      <w:r>
        <w:rPr>
          <w:sz w:val="24"/>
          <w:lang w:eastAsia="en-US"/>
        </w:rPr>
        <w:t>13) Учреждение исходит из допущения, что предоставленная Росреестром информация соответствует действительности и позволяет делать правильные выводы о характеристиках, исследованных Учреждением при проведении оценки и определения итоговой величины стоимо</w:t>
      </w:r>
      <w:r>
        <w:rPr>
          <w:sz w:val="24"/>
          <w:lang w:eastAsia="en-US"/>
        </w:rPr>
        <w:t>сти объектов оценки, и принимать базирующиеся на этих выводах обоснованные решения;</w:t>
      </w:r>
    </w:p>
    <w:p w:rsidR="00E85D42" w:rsidRDefault="008113B9">
      <w:pPr>
        <w:jc w:val="both"/>
        <w:rPr>
          <w:sz w:val="24"/>
          <w:lang w:eastAsia="en-US"/>
        </w:rPr>
      </w:pPr>
      <w:r>
        <w:rPr>
          <w:sz w:val="24"/>
          <w:lang w:eastAsia="en-US"/>
        </w:rPr>
        <w:t xml:space="preserve">14) осмотр объектов оценки при использовании метода массовой оценки не проводился; </w:t>
      </w:r>
    </w:p>
    <w:p w:rsidR="00E85D42" w:rsidRDefault="008113B9">
      <w:pPr>
        <w:jc w:val="both"/>
        <w:rPr>
          <w:sz w:val="24"/>
          <w:lang w:eastAsia="en-US"/>
        </w:rPr>
      </w:pPr>
      <w:r>
        <w:rPr>
          <w:sz w:val="24"/>
          <w:lang w:eastAsia="en-US"/>
        </w:rPr>
        <w:t>15) в рамках данных работ ГБУ РБ «ГКО и ТИ» не проводился анализ наиболее эффективного и</w:t>
      </w:r>
      <w:r>
        <w:rPr>
          <w:sz w:val="24"/>
          <w:lang w:eastAsia="en-US"/>
        </w:rPr>
        <w:t>спользования объектов недвижимости, поскольку при массовой оценке объектов недвижимости определить наиболее эффективное использование индивидуально для каждого объекта не представляется возможным. Оценка объектов недвижимости проводится из допущения, что н</w:t>
      </w:r>
      <w:r>
        <w:rPr>
          <w:sz w:val="24"/>
          <w:lang w:eastAsia="en-US"/>
        </w:rPr>
        <w:t>аиболее эффективное использование объектов оценки совпадает с текущим использованием объекта недвижимости. Текущее использование объектов оценки определялось на основе данных, содержащихся в Перечне объектов оценки «Вид разрешенного использования по докуме</w:t>
      </w:r>
      <w:r>
        <w:rPr>
          <w:sz w:val="24"/>
          <w:lang w:eastAsia="en-US"/>
        </w:rPr>
        <w:t>нту»;</w:t>
      </w:r>
    </w:p>
    <w:p w:rsidR="00E85D42" w:rsidRDefault="008113B9">
      <w:pPr>
        <w:jc w:val="both"/>
        <w:rPr>
          <w:b/>
          <w:sz w:val="24"/>
          <w:lang w:eastAsia="en-US"/>
        </w:rPr>
      </w:pPr>
      <w:bookmarkStart w:id="102" w:name="_Toc340258560"/>
      <w:bookmarkStart w:id="103" w:name="_Toc436155402"/>
      <w:bookmarkEnd w:id="101"/>
      <w:r>
        <w:rPr>
          <w:b/>
          <w:sz w:val="24"/>
          <w:lang w:eastAsia="en-US"/>
        </w:rPr>
        <w:t>Допущения, касающиеся информации об объектах-аналогах</w:t>
      </w:r>
      <w:bookmarkEnd w:id="102"/>
      <w:bookmarkEnd w:id="103"/>
    </w:p>
    <w:p w:rsidR="00E85D42" w:rsidRDefault="008113B9">
      <w:pPr>
        <w:jc w:val="both"/>
        <w:rPr>
          <w:sz w:val="24"/>
          <w:lang w:eastAsia="en-US"/>
        </w:rPr>
      </w:pPr>
      <w:bookmarkStart w:id="104" w:name="_Toc340258561"/>
      <w:bookmarkStart w:id="105" w:name="_Toc436155403"/>
      <w:r>
        <w:rPr>
          <w:sz w:val="24"/>
          <w:lang w:eastAsia="en-US"/>
        </w:rPr>
        <w:t>16) Учреждение 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w:t>
      </w:r>
      <w:r>
        <w:rPr>
          <w:sz w:val="24"/>
          <w:lang w:eastAsia="en-US"/>
        </w:rPr>
        <w:t>ыночная информация, полученная Учреждением из указанных в Отчете источников, достоверность которых может быть доказана, считается достоверной для целей проведения государственной кадастровой оценки;</w:t>
      </w:r>
    </w:p>
    <w:p w:rsidR="00E85D42" w:rsidRDefault="008113B9">
      <w:pPr>
        <w:jc w:val="both"/>
        <w:rPr>
          <w:sz w:val="24"/>
          <w:lang w:eastAsia="en-US"/>
        </w:rPr>
      </w:pPr>
      <w:r>
        <w:rPr>
          <w:sz w:val="24"/>
          <w:lang w:eastAsia="en-US"/>
        </w:rPr>
        <w:t>17) при сборе рыночной информации Учреждение не предполаг</w:t>
      </w:r>
      <w:r>
        <w:rPr>
          <w:sz w:val="24"/>
          <w:lang w:eastAsia="en-US"/>
        </w:rPr>
        <w:t>ает наличие каких-либо скрытых факторов, влияющих на величину стоимости объектов оценки. На Учреждении не лежит обязанность по обнаружению подобных факторов;</w:t>
      </w:r>
    </w:p>
    <w:p w:rsidR="00E85D42" w:rsidRDefault="008113B9">
      <w:pPr>
        <w:jc w:val="both"/>
        <w:rPr>
          <w:sz w:val="24"/>
        </w:rPr>
      </w:pPr>
      <w:r>
        <w:rPr>
          <w:sz w:val="24"/>
        </w:rPr>
        <w:t>18) в случае уточнения характеристик продаваемых объектов недвижимости по телефону у продавца, Учр</w:t>
      </w:r>
      <w:r>
        <w:rPr>
          <w:sz w:val="24"/>
        </w:rPr>
        <w:t xml:space="preserve">еждение считает данную информацию достоверной и использует ее при проведении оценки. </w:t>
      </w:r>
    </w:p>
    <w:p w:rsidR="00E85D42" w:rsidRDefault="008113B9">
      <w:pPr>
        <w:jc w:val="both"/>
        <w:rPr>
          <w:sz w:val="24"/>
        </w:rPr>
      </w:pPr>
      <w:r>
        <w:rPr>
          <w:sz w:val="24"/>
        </w:rPr>
        <w:t>19) Учреждение не несет ответственности за юридическое описание имущественных прав на объекты оценки. Объекты оценки и имущественные права на них рассматриваются свободны</w:t>
      </w:r>
      <w:r>
        <w:rPr>
          <w:sz w:val="24"/>
        </w:rPr>
        <w:t>ми от каких-либо претензий или ограничений;</w:t>
      </w:r>
    </w:p>
    <w:p w:rsidR="00E85D42" w:rsidRDefault="008113B9">
      <w:pPr>
        <w:jc w:val="both"/>
      </w:pPr>
      <w:r>
        <w:rPr>
          <w:sz w:val="24"/>
          <w:lang w:eastAsia="en-US"/>
        </w:rPr>
        <w:t>20) собранные объекты-аналоги описаны в разрезе ценообразующих факторов, при этом в случае недостающей информации о характеристиках объектов-аналогов, производился дополнительный сбор информации, исходя из следую</w:t>
      </w:r>
      <w:r>
        <w:rPr>
          <w:sz w:val="24"/>
          <w:lang w:eastAsia="en-US"/>
        </w:rPr>
        <w:t>щих критериев: местоположение объекта-аналога, назначение объекта-аналога, площадь</w:t>
      </w:r>
      <w:r>
        <w:t xml:space="preserve"> </w:t>
      </w:r>
      <w:r>
        <w:rPr>
          <w:sz w:val="24"/>
          <w:lang w:eastAsia="en-US"/>
        </w:rPr>
        <w:t>объекта-аналога, кадастровый номер</w:t>
      </w:r>
      <w:r>
        <w:t xml:space="preserve"> </w:t>
      </w:r>
      <w:r>
        <w:rPr>
          <w:sz w:val="24"/>
          <w:lang w:eastAsia="en-US"/>
        </w:rPr>
        <w:t>объекта-аналога, вид разрешенного использования, площадь, полная цена (в рублях), краткая характеристика.</w:t>
      </w:r>
    </w:p>
    <w:p w:rsidR="00E85D42" w:rsidRDefault="008113B9">
      <w:pPr>
        <w:jc w:val="both"/>
      </w:pPr>
      <w:r>
        <w:rPr>
          <w:sz w:val="24"/>
          <w:lang w:eastAsia="en-US"/>
        </w:rPr>
        <w:t>21) для определения значений цен</w:t>
      </w:r>
      <w:r>
        <w:rPr>
          <w:sz w:val="24"/>
          <w:lang w:eastAsia="en-US"/>
        </w:rPr>
        <w:t>ообразующих факторов объекты-аналоги привязывались к кадастровой карте согласно</w:t>
      </w:r>
      <w:r>
        <w:t xml:space="preserve"> </w:t>
      </w:r>
      <w:r>
        <w:rPr>
          <w:sz w:val="24"/>
          <w:lang w:eastAsia="en-US"/>
        </w:rPr>
        <w:t>кадастровых номеров,</w:t>
      </w:r>
      <w:r>
        <w:t xml:space="preserve"> </w:t>
      </w:r>
      <w:r>
        <w:rPr>
          <w:sz w:val="24"/>
          <w:lang w:eastAsia="en-US"/>
        </w:rPr>
        <w:t>при их отсутствии использовались адресные характеристики.</w:t>
      </w:r>
    </w:p>
    <w:p w:rsidR="00E85D42" w:rsidRDefault="008113B9">
      <w:pPr>
        <w:jc w:val="both"/>
        <w:rPr>
          <w:b/>
          <w:sz w:val="24"/>
          <w:lang w:eastAsia="en-US"/>
        </w:rPr>
      </w:pPr>
      <w:r>
        <w:rPr>
          <w:b/>
          <w:sz w:val="24"/>
          <w:lang w:eastAsia="en-US"/>
        </w:rPr>
        <w:t>Допущения, касающиеся количественных и качественных характеристик объектов оценки</w:t>
      </w:r>
      <w:bookmarkEnd w:id="104"/>
      <w:bookmarkEnd w:id="105"/>
    </w:p>
    <w:p w:rsidR="00E85D42" w:rsidRDefault="008113B9">
      <w:pPr>
        <w:jc w:val="both"/>
        <w:rPr>
          <w:sz w:val="24"/>
          <w:lang w:eastAsia="en-US"/>
        </w:rPr>
      </w:pPr>
      <w:r>
        <w:rPr>
          <w:sz w:val="24"/>
          <w:lang w:eastAsia="en-US"/>
        </w:rPr>
        <w:t>22) при определ</w:t>
      </w:r>
      <w:r>
        <w:rPr>
          <w:sz w:val="24"/>
          <w:lang w:eastAsia="en-US"/>
        </w:rPr>
        <w:t>ении кадастровой стоимости объектами оценки являются объекты недвижимости, сведения о которых содержатся в ЕГРН. Ввиду того что в ЕГРН земельные участки и улучшения на них (здания, помещения, объекты недвижимости незавершенного строительства) являются отде</w:t>
      </w:r>
      <w:r>
        <w:rPr>
          <w:sz w:val="24"/>
          <w:lang w:eastAsia="en-US"/>
        </w:rPr>
        <w:t>льными объектами учета, оценке подлежат земельные участки без учета улучшений.</w:t>
      </w:r>
    </w:p>
    <w:p w:rsidR="00E85D42" w:rsidRDefault="008113B9">
      <w:pPr>
        <w:jc w:val="both"/>
      </w:pPr>
      <w:r>
        <w:rPr>
          <w:sz w:val="24"/>
          <w:lang w:eastAsia="en-US"/>
        </w:rPr>
        <w:t>23)</w:t>
      </w:r>
      <w:r>
        <w:rPr>
          <w:sz w:val="24"/>
        </w:rPr>
        <w:t xml:space="preserve"> в ряде случаев площадь единого землепользования и сумма площадей обособленных земельных участков, входящих в его состав отличалась. В таком случае, для расчета кадастровой с</w:t>
      </w:r>
      <w:r>
        <w:rPr>
          <w:sz w:val="24"/>
        </w:rPr>
        <w:t>тоимости единого землепользования использовалась величина площади единого землепользования, умноженная на удельный показатель кадастровой стоимости, рассчитанный как частное от деления суммы кадастровых стоимостей на суммарную величину площади обособленных</w:t>
      </w:r>
      <w:r>
        <w:rPr>
          <w:sz w:val="24"/>
        </w:rPr>
        <w:t xml:space="preserve"> земельных участков, входящих в состав этого единого землепользования.</w:t>
      </w:r>
      <w:bookmarkStart w:id="106" w:name="_Hlk513545315"/>
    </w:p>
    <w:p w:rsidR="00E85D42" w:rsidRDefault="008113B9">
      <w:pPr>
        <w:jc w:val="both"/>
      </w:pPr>
      <w:r>
        <w:rPr>
          <w:b/>
          <w:sz w:val="24"/>
          <w:lang w:eastAsia="en-US"/>
        </w:rPr>
        <w:t>Допущения, касающиеся методов (способов) определения кадастровой стоимости</w:t>
      </w:r>
    </w:p>
    <w:bookmarkEnd w:id="106"/>
    <w:p w:rsidR="00E85D42" w:rsidRDefault="008113B9">
      <w:pPr>
        <w:rPr>
          <w:sz w:val="24"/>
        </w:rPr>
      </w:pPr>
      <w:r>
        <w:rPr>
          <w:sz w:val="24"/>
        </w:rPr>
        <w:t>24) Оценочное зонирование проводилось только в отношении тех сегментов рынка недвижимости, по которым существу</w:t>
      </w:r>
      <w:r>
        <w:rPr>
          <w:sz w:val="24"/>
        </w:rPr>
        <w:t>ет достаточная рыночная информация.</w:t>
      </w:r>
    </w:p>
    <w:p w:rsidR="00E85D42" w:rsidRDefault="008113B9">
      <w:pPr>
        <w:jc w:val="both"/>
        <w:rPr>
          <w:b/>
          <w:sz w:val="24"/>
          <w:lang w:eastAsia="en-US"/>
        </w:rPr>
      </w:pPr>
      <w:bookmarkStart w:id="107" w:name="_Toc436155404"/>
      <w:r>
        <w:rPr>
          <w:b/>
          <w:sz w:val="24"/>
          <w:lang w:eastAsia="en-US"/>
        </w:rPr>
        <w:t>Допущения, касающиеся определения видов разрешенного использования земельных участков в составе земель населенных пунктов (группировки)</w:t>
      </w:r>
      <w:bookmarkEnd w:id="107"/>
    </w:p>
    <w:p w:rsidR="00E85D42" w:rsidRDefault="008113B9">
      <w:pPr>
        <w:jc w:val="both"/>
      </w:pPr>
      <w:r>
        <w:rPr>
          <w:sz w:val="24"/>
          <w:lang w:eastAsia="en-US"/>
        </w:rPr>
        <w:t xml:space="preserve">25) в соответствии с главой </w:t>
      </w:r>
      <w:r>
        <w:rPr>
          <w:sz w:val="24"/>
          <w:lang w:val="en-US" w:eastAsia="en-US"/>
        </w:rPr>
        <w:t>IX</w:t>
      </w:r>
      <w:r>
        <w:rPr>
          <w:sz w:val="24"/>
          <w:lang w:eastAsia="en-US"/>
        </w:rPr>
        <w:t xml:space="preserve"> Методических указаний для целей определения </w:t>
      </w:r>
      <w:r>
        <w:rPr>
          <w:sz w:val="24"/>
          <w:lang w:eastAsia="en-US"/>
        </w:rPr>
        <w:t>кадастровой стоимости методами массовой оценки все объекты недвижимости, подлежащие оценке, были разделены на 14 сегментов, каждому был присвоен код вида разрешенного использования. Описание и обоснование подходов к сегментации земельных участков представл</w:t>
      </w:r>
      <w:r>
        <w:rPr>
          <w:sz w:val="24"/>
          <w:lang w:eastAsia="en-US"/>
        </w:rPr>
        <w:t>ено в п. 3.3. Отчета;</w:t>
      </w:r>
    </w:p>
    <w:p w:rsidR="00E85D42" w:rsidRDefault="008113B9">
      <w:pPr>
        <w:jc w:val="both"/>
        <w:rPr>
          <w:sz w:val="24"/>
          <w:lang w:eastAsia="en-US"/>
        </w:rPr>
      </w:pPr>
      <w:r>
        <w:rPr>
          <w:sz w:val="24"/>
          <w:lang w:eastAsia="en-US"/>
        </w:rPr>
        <w:t xml:space="preserve">26) при группировке земельных участков Учреждение руководствовалось информацией о виде разрешенного использования земельного участка по документу, указанной в ЕГРН, который является обязательной учетной характеристикой объекта оценки </w:t>
      </w:r>
      <w:r>
        <w:rPr>
          <w:sz w:val="24"/>
          <w:lang w:eastAsia="en-US"/>
        </w:rPr>
        <w:t xml:space="preserve">- земельного участка; </w:t>
      </w:r>
    </w:p>
    <w:p w:rsidR="00E85D42" w:rsidRDefault="008113B9">
      <w:pPr>
        <w:jc w:val="both"/>
        <w:rPr>
          <w:sz w:val="24"/>
          <w:lang w:eastAsia="en-US"/>
        </w:rPr>
      </w:pPr>
      <w:r>
        <w:rPr>
          <w:sz w:val="24"/>
          <w:lang w:eastAsia="en-US"/>
        </w:rPr>
        <w:t>27) в случае невозможности однозначного определения и толкования вида разрешенного использования земельного участка и присвоения ему соответствующего кода расчета вида использования, Учреждением использовалась информация о фактическо</w:t>
      </w:r>
      <w:r>
        <w:rPr>
          <w:sz w:val="24"/>
          <w:lang w:eastAsia="en-US"/>
        </w:rPr>
        <w:t xml:space="preserve">м использовании земельного участка, уточненная у органов местного самоуправления. </w:t>
      </w:r>
    </w:p>
    <w:p w:rsidR="00E85D42" w:rsidRDefault="008113B9">
      <w:pPr>
        <w:jc w:val="both"/>
        <w:rPr>
          <w:sz w:val="24"/>
          <w:lang w:eastAsia="en-US"/>
        </w:rPr>
      </w:pPr>
      <w:r>
        <w:rPr>
          <w:sz w:val="24"/>
          <w:lang w:eastAsia="en-US"/>
        </w:rPr>
        <w:t>28) информация о земельных участках со значениями в графе «Вид разрешенного использования по документу», не позволяющая присвоить тот или иной номер кода расчета вида исполь</w:t>
      </w:r>
      <w:r>
        <w:rPr>
          <w:sz w:val="24"/>
          <w:lang w:eastAsia="en-US"/>
        </w:rPr>
        <w:t>зования земельного участка, направлялась Учреждением в органы местного самоуправления для проведения процедуры уточнения;</w:t>
      </w:r>
    </w:p>
    <w:p w:rsidR="00E85D42" w:rsidRDefault="008113B9">
      <w:pPr>
        <w:jc w:val="both"/>
        <w:rPr>
          <w:b/>
          <w:sz w:val="24"/>
          <w:lang w:eastAsia="en-US"/>
        </w:rPr>
      </w:pPr>
      <w:bookmarkStart w:id="108" w:name="_Toc340258564"/>
      <w:bookmarkStart w:id="109" w:name="_Toc436155406"/>
      <w:r>
        <w:rPr>
          <w:b/>
          <w:sz w:val="24"/>
          <w:lang w:eastAsia="en-US"/>
        </w:rPr>
        <w:t>Допущения, касающиеся моделирования</w:t>
      </w:r>
      <w:bookmarkEnd w:id="108"/>
      <w:bookmarkEnd w:id="109"/>
      <w:r>
        <w:rPr>
          <w:b/>
          <w:sz w:val="24"/>
          <w:lang w:eastAsia="en-US"/>
        </w:rPr>
        <w:t xml:space="preserve"> </w:t>
      </w:r>
    </w:p>
    <w:p w:rsidR="00E85D42" w:rsidRDefault="008113B9">
      <w:pPr>
        <w:jc w:val="both"/>
      </w:pPr>
      <w:r>
        <w:rPr>
          <w:sz w:val="24"/>
        </w:rPr>
        <w:t xml:space="preserve">29) При моделировании кадастровой стоимости земельных участков, формирование отчетных материалов </w:t>
      </w:r>
      <w:r>
        <w:rPr>
          <w:sz w:val="24"/>
        </w:rPr>
        <w:t>проводились с использованием Автоматизированной информационной системы обеспечения государственной кадастровой оценки «Расчет кадастровой стоимости объектов недвижимости», Разработчик - Центр системных исследований «Интегро»</w:t>
      </w:r>
      <w:bookmarkStart w:id="110" w:name="_Toc340258565"/>
      <w:bookmarkStart w:id="111" w:name="_Toc436155407"/>
    </w:p>
    <w:p w:rsidR="00E85D42" w:rsidRDefault="008113B9">
      <w:pPr>
        <w:jc w:val="both"/>
        <w:rPr>
          <w:b/>
          <w:sz w:val="24"/>
          <w:lang w:eastAsia="en-US"/>
        </w:rPr>
      </w:pPr>
      <w:r>
        <w:rPr>
          <w:b/>
          <w:sz w:val="24"/>
          <w:lang w:eastAsia="en-US"/>
        </w:rPr>
        <w:t>Допущения, касающиеся результат</w:t>
      </w:r>
      <w:r>
        <w:rPr>
          <w:b/>
          <w:sz w:val="24"/>
          <w:lang w:eastAsia="en-US"/>
        </w:rPr>
        <w:t>ов оценки</w:t>
      </w:r>
      <w:bookmarkEnd w:id="110"/>
      <w:bookmarkEnd w:id="111"/>
    </w:p>
    <w:p w:rsidR="00E85D42" w:rsidRDefault="008113B9">
      <w:pPr>
        <w:jc w:val="both"/>
        <w:rPr>
          <w:sz w:val="24"/>
          <w:lang w:eastAsia="en-US"/>
        </w:rPr>
      </w:pPr>
      <w:r>
        <w:rPr>
          <w:sz w:val="24"/>
          <w:lang w:eastAsia="en-US"/>
        </w:rPr>
        <w:t xml:space="preserve">30) итоговая величина стоимости объектов оценки выражена в рублях Российской Федерации. Все полученные результаты, включая промежуточные, округлялись до двух знаков после запятой (т.е. до копеек); </w:t>
      </w:r>
    </w:p>
    <w:p w:rsidR="00E85D42" w:rsidRDefault="008113B9">
      <w:pPr>
        <w:jc w:val="both"/>
        <w:rPr>
          <w:sz w:val="24"/>
          <w:lang w:eastAsia="en-US"/>
        </w:rPr>
      </w:pPr>
      <w:r>
        <w:rPr>
          <w:sz w:val="24"/>
          <w:lang w:eastAsia="en-US"/>
        </w:rPr>
        <w:t>31) в рамках Отчета все полученные результаты не</w:t>
      </w:r>
      <w:r>
        <w:rPr>
          <w:sz w:val="24"/>
          <w:lang w:eastAsia="en-US"/>
        </w:rPr>
        <w:t xml:space="preserve"> включают НДС (ст. 2 части I НК РФ от 31.07.1998 №146-ФЗ)</w:t>
      </w:r>
    </w:p>
    <w:p w:rsidR="00E85D42" w:rsidRDefault="00E85D42">
      <w:pPr>
        <w:ind w:firstLine="709"/>
        <w:jc w:val="both"/>
        <w:rPr>
          <w:sz w:val="24"/>
          <w:szCs w:val="24"/>
        </w:rPr>
      </w:pPr>
    </w:p>
    <w:p w:rsidR="00E85D42" w:rsidRDefault="008113B9">
      <w:pPr>
        <w:ind w:firstLine="709"/>
        <w:jc w:val="both"/>
      </w:pPr>
      <w:r>
        <w:rPr>
          <w:sz w:val="24"/>
          <w:szCs w:val="24"/>
        </w:rPr>
        <w:t>Список представленных допущений не является исчерпывающим. Допущения и ограничения, касающиеся процесса оценки представлены в описании расчета</w:t>
      </w:r>
      <w:r>
        <w:rPr>
          <w:sz w:val="24"/>
          <w:lang w:eastAsia="en-US"/>
        </w:rPr>
        <w:t>..</w:t>
      </w:r>
      <w:bookmarkEnd w:id="60"/>
      <w:bookmarkEnd w:id="61"/>
    </w:p>
    <w:p w:rsidR="00E85D42" w:rsidRDefault="008113B9">
      <w:pPr>
        <w:keepNext/>
        <w:pageBreakBefore/>
        <w:ind w:firstLine="576"/>
        <w:jc w:val="center"/>
        <w:outlineLvl w:val="1"/>
        <w:rPr>
          <w:b/>
          <w:sz w:val="24"/>
        </w:rPr>
      </w:pPr>
      <w:bookmarkStart w:id="112" w:name="_Toc11934886"/>
      <w:r>
        <w:rPr>
          <w:b/>
          <w:sz w:val="24"/>
        </w:rPr>
        <w:t xml:space="preserve">3. </w:t>
      </w:r>
      <w:bookmarkStart w:id="113" w:name="_Toc509576720"/>
      <w:r>
        <w:rPr>
          <w:b/>
          <w:sz w:val="24"/>
        </w:rPr>
        <w:t>РАСЧЕТНАЯ ГЛАВА</w:t>
      </w:r>
      <w:bookmarkEnd w:id="112"/>
    </w:p>
    <w:p w:rsidR="00E85D42" w:rsidRDefault="008113B9">
      <w:pPr>
        <w:jc w:val="center"/>
        <w:rPr>
          <w:b/>
          <w:sz w:val="28"/>
          <w:szCs w:val="24"/>
        </w:rPr>
      </w:pPr>
      <w:r>
        <w:rPr>
          <w:b/>
          <w:sz w:val="28"/>
          <w:szCs w:val="24"/>
        </w:rPr>
        <w:t>3.1. Анализ информации о рынке об</w:t>
      </w:r>
      <w:r>
        <w:rPr>
          <w:b/>
          <w:sz w:val="28"/>
          <w:szCs w:val="24"/>
        </w:rPr>
        <w:t>ъектов недвижимости</w:t>
      </w:r>
      <w:bookmarkStart w:id="114" w:name="_Toc305424394"/>
    </w:p>
    <w:p w:rsidR="00E85D42" w:rsidRDefault="008113B9">
      <w:pPr>
        <w:jc w:val="center"/>
      </w:pPr>
      <w:r>
        <w:rPr>
          <w:b/>
          <w:bCs/>
          <w:iCs/>
          <w:sz w:val="28"/>
          <w:szCs w:val="24"/>
        </w:rPr>
        <w:t>3.1.</w:t>
      </w:r>
      <w:r>
        <w:rPr>
          <w:b/>
          <w:sz w:val="28"/>
          <w:szCs w:val="24"/>
        </w:rPr>
        <w:t>1. Краткое описание общеэкономического состояния территории Российской Федерации</w:t>
      </w:r>
      <w:r>
        <w:rPr>
          <w:sz w:val="28"/>
          <w:szCs w:val="24"/>
          <w:vertAlign w:val="superscript"/>
        </w:rPr>
        <w:footnoteReference w:id="1"/>
      </w:r>
    </w:p>
    <w:p w:rsidR="00E85D42" w:rsidRDefault="008113B9">
      <w:pPr>
        <w:ind w:firstLine="709"/>
        <w:jc w:val="both"/>
        <w:rPr>
          <w:sz w:val="24"/>
          <w:szCs w:val="24"/>
        </w:rPr>
      </w:pPr>
      <w:r>
        <w:rPr>
          <w:sz w:val="24"/>
          <w:szCs w:val="24"/>
        </w:rPr>
        <w:t xml:space="preserve">Российская Федерация - страна, расположенная в Восточной Европе и Северной Азии. Является самым большим государством мира (17 075 400 км² или 11,46% площади всей суши Земли, или 12,65% </w:t>
      </w:r>
      <w:r>
        <w:rPr>
          <w:sz w:val="24"/>
          <w:szCs w:val="24"/>
        </w:rPr>
        <w:t xml:space="preserve">заселенной человеком суши, что почти вдвое больше, чем у занимающей второе место Канады). Столица - город Москва. </w:t>
      </w:r>
    </w:p>
    <w:p w:rsidR="00E85D42" w:rsidRDefault="008113B9">
      <w:pPr>
        <w:ind w:firstLine="709"/>
        <w:jc w:val="both"/>
        <w:rPr>
          <w:sz w:val="24"/>
          <w:szCs w:val="24"/>
        </w:rPr>
      </w:pPr>
      <w:r>
        <w:rPr>
          <w:sz w:val="24"/>
          <w:szCs w:val="24"/>
        </w:rPr>
        <w:t>Всего в России 15 городов с населением более миллиона человек: Москва, Санкт-Петербург, Новосибирск, Екатеринбург, Нижний Новгород, Самара, О</w:t>
      </w:r>
      <w:r>
        <w:rPr>
          <w:sz w:val="24"/>
          <w:szCs w:val="24"/>
        </w:rPr>
        <w:t>мск, Казань, Челябинск, Ростов-на-Дону, Уфа, Волгоград, Воронеж, Пермь, Красноярск.</w:t>
      </w:r>
    </w:p>
    <w:p w:rsidR="00E85D42" w:rsidRDefault="008113B9">
      <w:pPr>
        <w:ind w:firstLine="709"/>
        <w:jc w:val="both"/>
        <w:rPr>
          <w:sz w:val="24"/>
          <w:szCs w:val="24"/>
        </w:rPr>
      </w:pPr>
      <w:r>
        <w:rPr>
          <w:sz w:val="24"/>
          <w:szCs w:val="24"/>
        </w:rPr>
        <w:t>Объем ВВП России за 2018г., по первой оценке, составил в текущих ценах 103626,6 млрд. рублей. Индекс его физического объема относительно 2017г. составил 102,3%. Индекс-дефл</w:t>
      </w:r>
      <w:r>
        <w:rPr>
          <w:sz w:val="24"/>
          <w:szCs w:val="24"/>
        </w:rPr>
        <w:t>ятор ВВП за 2018г. по отношению к ценам 2017г. составил 110,0%.</w:t>
      </w:r>
      <w:r>
        <w:rPr>
          <w:sz w:val="24"/>
          <w:szCs w:val="24"/>
        </w:rPr>
        <w:br/>
      </w: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8113B9">
      <w:pPr>
        <w:ind w:firstLine="709"/>
        <w:jc w:val="center"/>
      </w:pPr>
      <w:r>
        <w:rPr>
          <w:sz w:val="24"/>
          <w:szCs w:val="24"/>
        </w:rPr>
        <w:t>Основные экономические и социальные показатели Российской Федерации</w:t>
      </w:r>
      <w:r>
        <w:rPr>
          <w:sz w:val="24"/>
          <w:szCs w:val="24"/>
          <w:vertAlign w:val="superscript"/>
        </w:rPr>
        <w:footnoteReference w:id="2"/>
      </w:r>
    </w:p>
    <w:p w:rsidR="00E85D42" w:rsidRDefault="00E85D42">
      <w:pPr>
        <w:ind w:firstLine="709"/>
        <w:jc w:val="right"/>
        <w:rPr>
          <w:sz w:val="24"/>
          <w:szCs w:val="24"/>
        </w:rPr>
      </w:pPr>
    </w:p>
    <w:p w:rsidR="00E85D42" w:rsidRDefault="008113B9">
      <w:pPr>
        <w:ind w:firstLine="709"/>
        <w:jc w:val="right"/>
        <w:rPr>
          <w:sz w:val="24"/>
          <w:szCs w:val="24"/>
        </w:rPr>
      </w:pPr>
      <w:r>
        <w:rPr>
          <w:sz w:val="24"/>
          <w:szCs w:val="24"/>
        </w:rPr>
        <w:t>Таблица</w:t>
      </w:r>
      <w:r>
        <w:rPr>
          <w:sz w:val="24"/>
          <w:szCs w:val="24"/>
        </w:rPr>
        <w:t xml:space="preserve"> 3.1.1.1</w:t>
      </w:r>
    </w:p>
    <w:p w:rsidR="00E85D42" w:rsidRDefault="008113B9">
      <w:pPr>
        <w:jc w:val="both"/>
      </w:pPr>
      <w:r>
        <w:rPr>
          <w:noProof/>
          <w:sz w:val="24"/>
          <w:szCs w:val="24"/>
        </w:rPr>
        <w:drawing>
          <wp:inline distT="0" distB="0" distL="0" distR="0">
            <wp:extent cx="5838828" cy="7334246"/>
            <wp:effectExtent l="0" t="0" r="9522" b="4"/>
            <wp:docPr id="1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838828" cy="7334246"/>
                    </a:xfrm>
                    <a:prstGeom prst="rect">
                      <a:avLst/>
                    </a:prstGeom>
                    <a:noFill/>
                    <a:ln>
                      <a:noFill/>
                      <a:prstDash/>
                    </a:ln>
                  </pic:spPr>
                </pic:pic>
              </a:graphicData>
            </a:graphic>
          </wp:inline>
        </w:drawing>
      </w:r>
    </w:p>
    <w:p w:rsidR="00E85D42" w:rsidRDefault="008113B9">
      <w:pPr>
        <w:ind w:firstLine="709"/>
        <w:jc w:val="both"/>
        <w:rPr>
          <w:sz w:val="24"/>
          <w:szCs w:val="24"/>
        </w:rPr>
      </w:pPr>
      <w:r>
        <w:rPr>
          <w:sz w:val="24"/>
          <w:szCs w:val="24"/>
        </w:rPr>
        <w:t>По данным Росстата, рост ВВП в 2018 г. ускорился до 2,3 % с 1,6 % годом ранее, что превзошло как оценки Минэкономразвития России, осуществленные на основе оперативных данных, так и рыночный консенсус-прогноз. Ускорение темпов роста ВВП во многом</w:t>
      </w:r>
      <w:r>
        <w:rPr>
          <w:sz w:val="24"/>
          <w:szCs w:val="24"/>
        </w:rPr>
        <w:t xml:space="preserve"> обусловлено разовыми факторами и не является устойчивым. В текущем году ожидается замедление экономического роста до 1,3 %.</w:t>
      </w:r>
    </w:p>
    <w:p w:rsidR="00E85D42" w:rsidRDefault="008113B9">
      <w:pPr>
        <w:ind w:firstLine="709"/>
        <w:jc w:val="both"/>
        <w:rPr>
          <w:sz w:val="24"/>
          <w:szCs w:val="24"/>
        </w:rPr>
      </w:pPr>
      <w:r>
        <w:rPr>
          <w:sz w:val="24"/>
          <w:szCs w:val="24"/>
        </w:rPr>
        <w:t>В отраслевом разрезе ускорение роста ВВП по сравнению с предыдущим годом было обеспечено такими секторами, как добывающая промышлен</w:t>
      </w:r>
      <w:r>
        <w:rPr>
          <w:sz w:val="24"/>
          <w:szCs w:val="24"/>
        </w:rPr>
        <w:t>ность, транспортировка и хранение, строительство, деятельность финансовая и страховая. Вклад сельского хозяйства был слабоотрицательным (после положительного вклада годом ранее) на фоне более низкого урожая ряда ключевых культур (в первую очередь зерновых)</w:t>
      </w:r>
      <w:r>
        <w:rPr>
          <w:sz w:val="24"/>
          <w:szCs w:val="24"/>
        </w:rPr>
        <w:t>.</w:t>
      </w:r>
    </w:p>
    <w:p w:rsidR="00E85D42" w:rsidRDefault="008113B9">
      <w:pPr>
        <w:ind w:firstLine="709"/>
        <w:jc w:val="both"/>
        <w:rPr>
          <w:sz w:val="24"/>
          <w:szCs w:val="24"/>
        </w:rPr>
      </w:pPr>
      <w:r>
        <w:rPr>
          <w:sz w:val="24"/>
          <w:szCs w:val="24"/>
        </w:rPr>
        <w:t>В разрезе компонентов использования ускорение роста ВВП в 2018 г. по сравнению с предыдущим годом было связано с внешним сектором – более высоким темпом роста экспорта при значительном замедлении импорта в реальном выражении. При этом компоненты внутренн</w:t>
      </w:r>
      <w:r>
        <w:rPr>
          <w:sz w:val="24"/>
          <w:szCs w:val="24"/>
        </w:rPr>
        <w:t>его спроса продемонстрировали замедление.</w:t>
      </w:r>
    </w:p>
    <w:p w:rsidR="00E85D42" w:rsidRDefault="008113B9">
      <w:pPr>
        <w:ind w:firstLine="709"/>
        <w:jc w:val="both"/>
      </w:pPr>
      <w:r>
        <w:rPr>
          <w:sz w:val="24"/>
          <w:szCs w:val="24"/>
        </w:rPr>
        <w:t>Динамика показателей потребительского спроса была разнонаправленной. Темп роста оборота розничной торговли увеличился до 2,6 % в 2018 г. после 1,3 % годом ранее, в том числе за счет расширения спроса на товары длит</w:t>
      </w:r>
      <w:r>
        <w:rPr>
          <w:sz w:val="24"/>
          <w:szCs w:val="24"/>
        </w:rPr>
        <w:t>ельного пользования (рост продаж легковых автомобилей составил 12,8 % в 2018 г. после 11,9 % в 2017 году). Другие компоненты потребительского спроса показали замедление темпов роста. В частности, покупки в зарубежных Интернет-магазинах в январе</w:t>
      </w:r>
      <w:r>
        <w:rPr>
          <w:rFonts w:ascii="Symbol" w:eastAsia="Symbol" w:hAnsi="Symbol" w:cs="Symbol"/>
          <w:sz w:val="24"/>
          <w:szCs w:val="24"/>
        </w:rPr>
        <w:t></w:t>
      </w:r>
      <w:r>
        <w:rPr>
          <w:sz w:val="24"/>
          <w:szCs w:val="24"/>
        </w:rPr>
        <w:t>сентябре 20</w:t>
      </w:r>
      <w:r>
        <w:rPr>
          <w:sz w:val="24"/>
          <w:szCs w:val="24"/>
        </w:rPr>
        <w:t>18 г. увеличились на 6,5 % г/г в долларовом эквиваленте после роста на 83,9 % в 2017 году. В целом расходы домашних хозяйств на конечное потребление выросли на 2,2 % в 2018 г. после 3,2 % годом ранее.</w:t>
      </w:r>
    </w:p>
    <w:p w:rsidR="00E85D42" w:rsidRDefault="008113B9">
      <w:pPr>
        <w:ind w:firstLine="709"/>
        <w:jc w:val="both"/>
        <w:rPr>
          <w:sz w:val="24"/>
          <w:szCs w:val="24"/>
        </w:rPr>
      </w:pPr>
      <w:r>
        <w:rPr>
          <w:sz w:val="24"/>
          <w:szCs w:val="24"/>
        </w:rPr>
        <w:t>Несмотря на высокие темпы роста заработных плат (+6,8 %</w:t>
      </w:r>
      <w:r>
        <w:rPr>
          <w:sz w:val="24"/>
          <w:szCs w:val="24"/>
        </w:rPr>
        <w:t xml:space="preserve"> в 2018 г. в реальном выражении), реальные располагаемые доходы населения снизились на 0,2 % (с учетом единовременной выплаты пенсионерам). В то же время динамика показателя для различных доходных групп была неоднородной. Негативные факторы (падение доходо</w:t>
      </w:r>
      <w:r>
        <w:rPr>
          <w:sz w:val="24"/>
          <w:szCs w:val="24"/>
        </w:rPr>
        <w:t>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w:t>
      </w:r>
      <w:r>
        <w:rPr>
          <w:sz w:val="24"/>
          <w:szCs w:val="24"/>
        </w:rPr>
        <w:t>ат в бюджетной сфере серьезно поддержали доходы менее обеспеченных групп населения.</w:t>
      </w:r>
    </w:p>
    <w:p w:rsidR="00E85D42" w:rsidRDefault="008113B9">
      <w:pPr>
        <w:ind w:firstLine="709"/>
        <w:jc w:val="both"/>
        <w:rPr>
          <w:sz w:val="24"/>
          <w:szCs w:val="24"/>
        </w:rPr>
      </w:pPr>
      <w:r>
        <w:rPr>
          <w:sz w:val="24"/>
          <w:szCs w:val="24"/>
        </w:rPr>
        <w:t>Положительное сальдо счета текущих операций в 2018 г. достигло максимального значения за всю историю наблюдений (114,9 млрд. долл. США). Увеличение экспорта было обеспечено</w:t>
      </w:r>
      <w:r>
        <w:rPr>
          <w:sz w:val="24"/>
          <w:szCs w:val="24"/>
        </w:rPr>
        <w:t xml:space="preserve"> не только благоприятной ценовой конъюнктурой мировых товарных рынков, но и ростом физических объемов экспорта, в том числе и ненефтегазового. Среди компонентов ненефтегазового экспорта рост в реальном выражении наблюдался по продукции металлургии, продово</w:t>
      </w:r>
      <w:r>
        <w:rPr>
          <w:sz w:val="24"/>
          <w:szCs w:val="24"/>
        </w:rPr>
        <w:t>льствию, химическим товарам, продукции деревообработки. Одновременно на фоне ослабления рубля произошло существенное замедление роста импорта.</w:t>
      </w: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Производственная активность</w:t>
      </w:r>
    </w:p>
    <w:p w:rsidR="00E85D42" w:rsidRDefault="008113B9">
      <w:pPr>
        <w:ind w:firstLine="709"/>
        <w:jc w:val="both"/>
        <w:rPr>
          <w:sz w:val="24"/>
          <w:szCs w:val="24"/>
        </w:rPr>
      </w:pPr>
      <w:r>
        <w:rPr>
          <w:sz w:val="24"/>
          <w:szCs w:val="24"/>
        </w:rPr>
        <w:t xml:space="preserve">По данным Росстата, экономический рост по итогам 2018 г. ускорился до 2,3 % с 1,6 % </w:t>
      </w:r>
      <w:r>
        <w:rPr>
          <w:sz w:val="24"/>
          <w:szCs w:val="24"/>
        </w:rPr>
        <w:t>годом ранее.</w:t>
      </w:r>
    </w:p>
    <w:p w:rsidR="00E85D42" w:rsidRDefault="008113B9">
      <w:pPr>
        <w:ind w:firstLine="709"/>
        <w:jc w:val="both"/>
        <w:rPr>
          <w:sz w:val="24"/>
          <w:szCs w:val="24"/>
        </w:rPr>
      </w:pPr>
      <w:r>
        <w:rPr>
          <w:sz w:val="24"/>
          <w:szCs w:val="24"/>
        </w:rPr>
        <w:t>В отраслевом разрезе ключевыми драйверами экономического роста стали промышленность и строительство (вклад в экономический рост 0,6 п.п. и 0,3 п.п. соответственно). Позитивный вклад в динамику ВВП также внесли торговля (0,3 п.п.) и транспортна</w:t>
      </w:r>
      <w:r>
        <w:rPr>
          <w:sz w:val="24"/>
          <w:szCs w:val="24"/>
        </w:rPr>
        <w:t>я отрасль (0,2 п.п.), в то время как вклад сельского хозяйства был слабоотрицательным на фоне ухудшения урожая ряда ключевых культур (в первую очередь зерновых) и замедления роста выпуска животноводства.</w:t>
      </w:r>
    </w:p>
    <w:p w:rsidR="00E85D42" w:rsidRDefault="008113B9">
      <w:pPr>
        <w:ind w:firstLine="709"/>
        <w:jc w:val="both"/>
        <w:rPr>
          <w:sz w:val="24"/>
          <w:szCs w:val="24"/>
        </w:rPr>
      </w:pPr>
      <w:r>
        <w:rPr>
          <w:sz w:val="24"/>
          <w:szCs w:val="24"/>
        </w:rPr>
        <w:t>Около 0,8 п.п. роста ВВП было обеспечено сектором ус</w:t>
      </w:r>
      <w:r>
        <w:rPr>
          <w:sz w:val="24"/>
          <w:szCs w:val="24"/>
        </w:rPr>
        <w:t>луг. По сравнению с предыдущим годом ускорение роста наблюдалось в финансовой и страховой деятельности, деятельности гостиниц и ресторанов, в то время как рост в сфере операций с недвижимым имуществом замедлился.</w:t>
      </w:r>
    </w:p>
    <w:p w:rsidR="00E85D42" w:rsidRDefault="00E85D42">
      <w:pPr>
        <w:ind w:firstLine="709"/>
        <w:jc w:val="both"/>
        <w:rPr>
          <w:sz w:val="24"/>
          <w:szCs w:val="24"/>
        </w:rPr>
      </w:pPr>
    </w:p>
    <w:p w:rsidR="00000000" w:rsidRDefault="008113B9">
      <w:pPr>
        <w:sectPr w:rsidR="00000000">
          <w:headerReference w:type="default" r:id="rId188"/>
          <w:footerReference w:type="default" r:id="rId189"/>
          <w:headerReference w:type="first" r:id="rId190"/>
          <w:footerReference w:type="first" r:id="rId191"/>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rPr>
          <w:sz w:val="24"/>
          <w:szCs w:val="24"/>
        </w:rPr>
      </w:pPr>
      <w:r>
        <w:rPr>
          <w:sz w:val="24"/>
          <w:szCs w:val="24"/>
        </w:rPr>
        <w:t>Рис. 3.1.1.1 Вклады видов экономической д</w:t>
      </w:r>
      <w:r>
        <w:rPr>
          <w:sz w:val="24"/>
          <w:szCs w:val="24"/>
        </w:rPr>
        <w:t>еятельности в темпы роста ВВП</w:t>
      </w:r>
    </w:p>
    <w:p w:rsidR="00E85D42" w:rsidRDefault="00E85D42">
      <w:pPr>
        <w:rPr>
          <w:sz w:val="24"/>
          <w:szCs w:val="24"/>
        </w:rPr>
      </w:pPr>
    </w:p>
    <w:p w:rsidR="00E85D42" w:rsidRDefault="008113B9">
      <w:pPr>
        <w:rPr>
          <w:sz w:val="24"/>
          <w:szCs w:val="24"/>
        </w:rPr>
      </w:pPr>
      <w:r>
        <w:rPr>
          <w:sz w:val="24"/>
          <w:szCs w:val="24"/>
        </w:rPr>
        <w:t>Рис. 3.1.1.2 Темпы роста по основным видам экономической деятельности</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3270607"/>
            <wp:effectExtent l="0" t="0" r="3173" b="5993"/>
            <wp:docPr id="14"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rcRect t="10112"/>
                    <a:stretch>
                      <a:fillRect/>
                    </a:stretch>
                  </pic:blipFill>
                  <pic:spPr>
                    <a:xfrm>
                      <a:off x="0" y="0"/>
                      <a:ext cx="5940427" cy="3270607"/>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Рост выпуска в промышленности в прошлом году происходил достаточно равномерно. Годовые темпы ее роста в течение года оставались в пределах 2–4 % (в 201</w:t>
      </w:r>
      <w:r>
        <w:rPr>
          <w:sz w:val="24"/>
          <w:szCs w:val="24"/>
        </w:rPr>
        <w:t>7 г. диапазон колебаний составил практически 9 п.п.).</w:t>
      </w:r>
    </w:p>
    <w:p w:rsidR="00E85D42" w:rsidRDefault="008113B9">
      <w:pPr>
        <w:ind w:firstLine="709"/>
        <w:jc w:val="both"/>
        <w:rPr>
          <w:sz w:val="24"/>
          <w:szCs w:val="24"/>
        </w:rPr>
      </w:pPr>
      <w:r>
        <w:rPr>
          <w:sz w:val="24"/>
          <w:szCs w:val="24"/>
        </w:rPr>
        <w:t xml:space="preserve">По итогам года положительную динамику продемонстрировали все укрупненные отрасли промышленности. Продолжался рост в добыче полезных ископаемых и обрабатывающих отраслях, темпы роста электроэнергетики и </w:t>
      </w:r>
      <w:r>
        <w:rPr>
          <w:sz w:val="24"/>
          <w:szCs w:val="24"/>
        </w:rPr>
        <w:t>водоснабжения вернулись в положительную область после спада в 2017 году. В то же время структура роста промышленного производства в течение года менялась. Если в первой половине года расширение выпуска промышленности опиралось на обрабатывающие отрасли, то</w:t>
      </w:r>
      <w:r>
        <w:rPr>
          <w:sz w:val="24"/>
          <w:szCs w:val="24"/>
        </w:rPr>
        <w:t xml:space="preserve"> во втором полугодии драйвером роста стали добывающие производства.</w:t>
      </w:r>
    </w:p>
    <w:p w:rsidR="00E85D42" w:rsidRDefault="008113B9">
      <w:pPr>
        <w:ind w:firstLine="709"/>
        <w:jc w:val="both"/>
        <w:rPr>
          <w:sz w:val="24"/>
          <w:szCs w:val="24"/>
        </w:rPr>
      </w:pPr>
      <w:r>
        <w:rPr>
          <w:sz w:val="24"/>
          <w:szCs w:val="24"/>
        </w:rPr>
        <w:t>Добыча полезных ископаемых в 2018 г. выросла на 4,1 % (в 2017 г. – на 2,1 %). При этом во второй половине года наблюдалось существенное улучшение ее динамики (4,9 % г/г и 7,2 % г/г в 3 ква</w:t>
      </w:r>
      <w:r>
        <w:rPr>
          <w:sz w:val="24"/>
          <w:szCs w:val="24"/>
        </w:rPr>
        <w:t>ртале 2018 и 4 квартале 2018 соответственно после 1,9 % г/г в январе–июне), обусловленное в первую очередь результатами июньского заседания ОПЕК+, на котором было принято решение об увеличении совокупного предложения нефти странами – участницами соглашения</w:t>
      </w:r>
      <w:r>
        <w:rPr>
          <w:sz w:val="24"/>
          <w:szCs w:val="24"/>
        </w:rPr>
        <w:t xml:space="preserve"> приблизительно на 1 млн. барр. / сутки до конца года. В соответствии с новыми параметрами сделки Россия к декабрю нарастила добычу нефти почти на 0,5 млн. барр. / сутки по сравнению с майским уровнем, до исторического максимума 11,45 млн. барр. / сутки. В</w:t>
      </w:r>
      <w:r>
        <w:rPr>
          <w:sz w:val="24"/>
          <w:szCs w:val="24"/>
        </w:rPr>
        <w:t xml:space="preserve"> целом по итогам года добыча нефти и нефтяного (попутного) газа выросла на 1,7 % после падения на 0,2 % годом ранее. Вместе с тем начиная с января 2019 г. новые договоренности ОПЕК+ об ограничении добычи, достигнутые на декабрьском заседании в Вене, будут </w:t>
      </w:r>
      <w:r>
        <w:rPr>
          <w:sz w:val="24"/>
          <w:szCs w:val="24"/>
        </w:rPr>
        <w:t>оказывать сдерживающее влияние на динамику нефтяной отрасли.</w:t>
      </w:r>
    </w:p>
    <w:p w:rsidR="00E85D42" w:rsidRDefault="008113B9">
      <w:pPr>
        <w:ind w:firstLine="709"/>
        <w:jc w:val="both"/>
        <w:rPr>
          <w:sz w:val="24"/>
          <w:szCs w:val="24"/>
        </w:rPr>
      </w:pPr>
      <w:r>
        <w:rPr>
          <w:sz w:val="24"/>
          <w:szCs w:val="24"/>
        </w:rPr>
        <w:t xml:space="preserve">Рост в газовой отрасли в 2018 г. также ускорился – до 16,5 % по сравнению с 7,1 % в 2017 году. Высокие темпы роста добычи газа были обеспечены в первую очередь активным ростом выпуска сжиженного </w:t>
      </w:r>
      <w:r>
        <w:rPr>
          <w:sz w:val="24"/>
          <w:szCs w:val="24"/>
        </w:rPr>
        <w:t>природного газа (на 70,1 % в 2018 г. после 7,6 % в 2017 году). В то же время рост производства естественного природного газа по итогам прошлого года замедлился до 5,3 % с 8,7 % в 2017 году.</w:t>
      </w:r>
    </w:p>
    <w:p w:rsidR="00E85D42" w:rsidRDefault="008113B9">
      <w:pPr>
        <w:ind w:firstLine="709"/>
        <w:jc w:val="both"/>
        <w:rPr>
          <w:sz w:val="24"/>
          <w:szCs w:val="24"/>
        </w:rPr>
      </w:pPr>
      <w:r>
        <w:rPr>
          <w:sz w:val="24"/>
          <w:szCs w:val="24"/>
        </w:rPr>
        <w:t>Позитивные тенденции наблюдались и в добыче ненефтегазовых полезны</w:t>
      </w:r>
      <w:r>
        <w:rPr>
          <w:sz w:val="24"/>
          <w:szCs w:val="24"/>
        </w:rPr>
        <w:t>х ископаемых. Добыча угля и металлических руд в 2018 г. продолжала демонстрировать уверенный рост (на 4,2 % и 4,6 % соответственно). Предоставление услуг в области добычи полезных ископаемых второй год подряд росло двузначными темпами.</w:t>
      </w:r>
    </w:p>
    <w:p w:rsidR="00E85D42" w:rsidRDefault="008113B9">
      <w:pPr>
        <w:ind w:firstLine="709"/>
        <w:jc w:val="both"/>
        <w:rPr>
          <w:sz w:val="24"/>
          <w:szCs w:val="24"/>
        </w:rPr>
      </w:pPr>
      <w:r>
        <w:rPr>
          <w:sz w:val="24"/>
          <w:szCs w:val="24"/>
        </w:rPr>
        <w:t>Динамика обрабатываю</w:t>
      </w:r>
      <w:r>
        <w:rPr>
          <w:sz w:val="24"/>
          <w:szCs w:val="24"/>
        </w:rPr>
        <w:t>щей промышленности в 2018 г. сохранилась практически на уровне предыдущего года (2,6 % и 2,5 % соответственно). Как и в 2017 г., ее рост опирался в первую очередь на позитивную динамику основополагающих обрабатывающих производств – химической и пищевой отр</w:t>
      </w:r>
      <w:r>
        <w:rPr>
          <w:sz w:val="24"/>
          <w:szCs w:val="24"/>
        </w:rPr>
        <w:t>асли, деревообработки, производства стройматериалов. Совокупный вклад перечисленных отраслей в темп роста обрабатывающей промышленности в 2018 г. составил 1,9 процентных пункта.</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E85D42">
      <w:pPr>
        <w:rPr>
          <w:sz w:val="24"/>
          <w:szCs w:val="24"/>
        </w:rPr>
      </w:pPr>
    </w:p>
    <w:p w:rsidR="00E85D42" w:rsidRDefault="008113B9">
      <w:pPr>
        <w:rPr>
          <w:sz w:val="24"/>
          <w:szCs w:val="24"/>
        </w:rPr>
      </w:pPr>
      <w:r>
        <w:rPr>
          <w:sz w:val="24"/>
          <w:szCs w:val="24"/>
        </w:rPr>
        <w:t xml:space="preserve">Рис. 3.1.1.3 Все отрасли обрабатывающей  промышленности внесли вклад в ее </w:t>
      </w:r>
      <w:r>
        <w:rPr>
          <w:sz w:val="24"/>
          <w:szCs w:val="24"/>
        </w:rPr>
        <w:t>рост в январе-декабре 2018 года</w:t>
      </w:r>
    </w:p>
    <w:p w:rsidR="00E85D42" w:rsidRDefault="00E85D42">
      <w:pPr>
        <w:jc w:val="both"/>
        <w:rPr>
          <w:sz w:val="24"/>
          <w:szCs w:val="24"/>
        </w:rPr>
      </w:pPr>
    </w:p>
    <w:p w:rsidR="00E85D42" w:rsidRDefault="008113B9">
      <w:pPr>
        <w:jc w:val="both"/>
        <w:rPr>
          <w:sz w:val="24"/>
          <w:szCs w:val="24"/>
        </w:rPr>
      </w:pPr>
      <w:r>
        <w:rPr>
          <w:sz w:val="24"/>
          <w:szCs w:val="24"/>
        </w:rPr>
        <w:t>Рис. 3.1.1.4 Медианный темп роста обрабатывающей промышленности в декабре продолжил снижаться</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410870"/>
            <wp:effectExtent l="0" t="0" r="3173" b="8480"/>
            <wp:docPr id="15"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rcRect t="17590"/>
                    <a:stretch>
                      <a:fillRect/>
                    </a:stretch>
                  </pic:blipFill>
                  <pic:spPr>
                    <a:xfrm>
                      <a:off x="0" y="0"/>
                      <a:ext cx="5940427" cy="2410870"/>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По итогам прошлого года небольшой рост выпуска также продемонстрировали металлургия (+1,6 %) и машиностроение (+1,2 %). Вмест</w:t>
      </w:r>
      <w:r>
        <w:rPr>
          <w:sz w:val="24"/>
          <w:szCs w:val="24"/>
        </w:rPr>
        <w:t>е с тем динамика указанных отраслей, как и в предшествующие годы, характеризовалась повышенной волатильностью: стандартное отклонение годовых темпов их роста составило 7,9 % и 6,8 % соответственно. Во второй половине года в металлургической и машиностроите</w:t>
      </w:r>
      <w:r>
        <w:rPr>
          <w:sz w:val="24"/>
          <w:szCs w:val="24"/>
        </w:rPr>
        <w:t>льной отраслях наметилась тенденция к замедлению роста, что внесло основной вклад в торможение обрабатывающей промышленности в целом.</w:t>
      </w:r>
    </w:p>
    <w:p w:rsidR="00E85D42" w:rsidRDefault="008113B9">
      <w:pPr>
        <w:ind w:firstLine="709"/>
        <w:jc w:val="both"/>
        <w:rPr>
          <w:sz w:val="24"/>
          <w:szCs w:val="24"/>
        </w:rPr>
      </w:pPr>
      <w:r>
        <w:rPr>
          <w:sz w:val="24"/>
          <w:szCs w:val="24"/>
        </w:rPr>
        <w:t>Замедление обрабатывающей промышленности отражает и динамика медианного темпа ее роста, который позволяет сгладить влияние</w:t>
      </w:r>
      <w:r>
        <w:rPr>
          <w:sz w:val="24"/>
          <w:szCs w:val="24"/>
        </w:rPr>
        <w:t xml:space="preserve"> наиболее волатильных компонент. Во втором полугодии показатель рос темпом 1,9 % г/г по сравнению с 3,0 % г/г в январе–июне, а к декабрю замедлился до 0,2 % г/г (темп роста обрабатывающей промышленности, рассчитанный по формуле средней, в последние два мес</w:t>
      </w:r>
      <w:r>
        <w:rPr>
          <w:sz w:val="24"/>
          <w:szCs w:val="24"/>
        </w:rPr>
        <w:t>яца 2018 г. находился на нулевом уровне).</w:t>
      </w:r>
    </w:p>
    <w:p w:rsidR="00E85D42" w:rsidRDefault="00E85D42">
      <w:pPr>
        <w:ind w:firstLine="709"/>
        <w:jc w:val="both"/>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8113B9">
      <w:pPr>
        <w:ind w:firstLine="709"/>
        <w:jc w:val="center"/>
        <w:rPr>
          <w:sz w:val="24"/>
          <w:szCs w:val="24"/>
        </w:rPr>
      </w:pPr>
      <w:r>
        <w:rPr>
          <w:sz w:val="24"/>
          <w:szCs w:val="24"/>
        </w:rPr>
        <w:t>Показатели производственной активности</w:t>
      </w:r>
    </w:p>
    <w:p w:rsidR="00E85D42" w:rsidRDefault="008113B9">
      <w:pPr>
        <w:jc w:val="right"/>
        <w:rPr>
          <w:sz w:val="24"/>
          <w:szCs w:val="24"/>
        </w:rPr>
      </w:pPr>
      <w:r>
        <w:rPr>
          <w:sz w:val="24"/>
          <w:szCs w:val="24"/>
        </w:rPr>
        <w:t>Таблица 3.1.1.2</w:t>
      </w:r>
    </w:p>
    <w:p w:rsidR="00E85D42" w:rsidRDefault="008113B9">
      <w:pPr>
        <w:jc w:val="both"/>
      </w:pPr>
      <w:r>
        <w:rPr>
          <w:noProof/>
          <w:sz w:val="24"/>
          <w:szCs w:val="24"/>
        </w:rPr>
        <w:drawing>
          <wp:inline distT="0" distB="0" distL="0" distR="0">
            <wp:extent cx="5940427" cy="4770891"/>
            <wp:effectExtent l="0" t="0" r="3173" b="0"/>
            <wp:docPr id="16"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rcRect t="4740"/>
                    <a:stretch>
                      <a:fillRect/>
                    </a:stretch>
                  </pic:blipFill>
                  <pic:spPr>
                    <a:xfrm>
                      <a:off x="0" y="0"/>
                      <a:ext cx="5940427" cy="4770891"/>
                    </a:xfrm>
                    <a:prstGeom prst="rect">
                      <a:avLst/>
                    </a:prstGeom>
                    <a:noFill/>
                    <a:ln>
                      <a:noFill/>
                      <a:prstDash/>
                    </a:ln>
                  </pic:spPr>
                </pic:pic>
              </a:graphicData>
            </a:graphic>
          </wp:inline>
        </w:drawing>
      </w:r>
    </w:p>
    <w:p w:rsidR="00E85D42" w:rsidRDefault="008113B9">
      <w:pPr>
        <w:ind w:firstLine="709"/>
        <w:jc w:val="both"/>
        <w:rPr>
          <w:b/>
          <w:i/>
          <w:sz w:val="24"/>
          <w:szCs w:val="24"/>
        </w:rPr>
      </w:pPr>
      <w:r>
        <w:rPr>
          <w:b/>
          <w:i/>
          <w:sz w:val="24"/>
          <w:szCs w:val="24"/>
        </w:rPr>
        <w:t>Итоги года в сельском хозяйстве</w:t>
      </w:r>
    </w:p>
    <w:p w:rsidR="00E85D42" w:rsidRDefault="008113B9">
      <w:pPr>
        <w:ind w:firstLine="709"/>
        <w:jc w:val="both"/>
        <w:rPr>
          <w:sz w:val="24"/>
          <w:szCs w:val="24"/>
        </w:rPr>
      </w:pPr>
      <w:r>
        <w:rPr>
          <w:sz w:val="24"/>
          <w:szCs w:val="24"/>
        </w:rPr>
        <w:t xml:space="preserve">Производство сельскохозяйственной продукции в 2018 г. снизилось на 0,6 % после двух лет уверенного роста (на 3,1 </w:t>
      </w:r>
      <w:r>
        <w:rPr>
          <w:sz w:val="24"/>
          <w:szCs w:val="24"/>
        </w:rPr>
        <w:t>% в 2017 году, на 4,8 % – в 2016 году).</w:t>
      </w:r>
    </w:p>
    <w:p w:rsidR="00E85D42" w:rsidRDefault="008113B9">
      <w:pPr>
        <w:ind w:firstLine="709"/>
        <w:jc w:val="both"/>
        <w:rPr>
          <w:sz w:val="24"/>
          <w:szCs w:val="24"/>
        </w:rPr>
      </w:pPr>
      <w:r>
        <w:rPr>
          <w:sz w:val="24"/>
          <w:szCs w:val="24"/>
        </w:rPr>
        <w:t xml:space="preserve">Основную роль в снижении выпуска в сельском хозяйстве в 2018 г. сыграла нормализация урожая зерновых после рекордных показателей предшествующих двух лет. Сбор зерновых и зернобобовых культур в 2018 г. составил 112,9 </w:t>
      </w:r>
      <w:r>
        <w:rPr>
          <w:sz w:val="24"/>
          <w:szCs w:val="24"/>
        </w:rPr>
        <w:t>млн. тонн по сравнению со 120,7 млн. тонн в 2016 г. и 135 млн. тонн в 2017 году, когда был достигнут исторический максимум. Снижение сбора зерновых было обусловлено главным образом снижением урожайности (на 13 %) вследствие неблагоприятных природных услови</w:t>
      </w:r>
      <w:r>
        <w:rPr>
          <w:sz w:val="24"/>
          <w:szCs w:val="24"/>
        </w:rPr>
        <w:t>й в различные периоды развития этих культур (засуха в южных регионах страны, аномально низкие температуры в Сибири и на Урале в период посевной, затяжные дожди в центральных регионах в период уборки). Вместе с тем урожай зерна в 2018 г. стал третьим по вел</w:t>
      </w:r>
      <w:r>
        <w:rPr>
          <w:sz w:val="24"/>
          <w:szCs w:val="24"/>
        </w:rPr>
        <w:t>ичине с 1992 года.</w:t>
      </w:r>
    </w:p>
    <w:p w:rsidR="00E85D42" w:rsidRDefault="008113B9">
      <w:pPr>
        <w:ind w:firstLine="709"/>
        <w:jc w:val="both"/>
        <w:rPr>
          <w:sz w:val="24"/>
          <w:szCs w:val="24"/>
        </w:rPr>
      </w:pPr>
      <w:r>
        <w:rPr>
          <w:sz w:val="24"/>
          <w:szCs w:val="24"/>
        </w:rPr>
        <w:t xml:space="preserve">Наряду с зерновыми культурами, выраженная негативная динамика также наблюдалась по сбору сахарной свеклы (-20,6 %). Вместе с тем рекордные показатели были зафиксированы по подсолнечнику, урожай которого увеличился на 20,2 % по сравнению </w:t>
      </w:r>
      <w:r>
        <w:rPr>
          <w:sz w:val="24"/>
          <w:szCs w:val="24"/>
        </w:rPr>
        <w:t>в предыдущим годом. Росту сбора подсолнечника способствовало как увеличение посевных площадей, так и рост урожайности за счет благоприятных погодных условий в основных производящих культуру регионах (в 2017 г., напротив, неблагоприятные погодные условия пр</w:t>
      </w:r>
      <w:r>
        <w:rPr>
          <w:sz w:val="24"/>
          <w:szCs w:val="24"/>
        </w:rPr>
        <w:t>ивели к более позднему созреванию культуры и, как следствие, увеличению неубранных площадей).</w:t>
      </w:r>
    </w:p>
    <w:p w:rsidR="00E85D42" w:rsidRDefault="008113B9">
      <w:pPr>
        <w:ind w:firstLine="709"/>
        <w:jc w:val="both"/>
        <w:rPr>
          <w:sz w:val="24"/>
          <w:szCs w:val="24"/>
        </w:rPr>
      </w:pPr>
      <w:r>
        <w:rPr>
          <w:sz w:val="24"/>
          <w:szCs w:val="24"/>
        </w:rPr>
        <w:t>Снижение выпуска в растениеводстве в 2018 г. не было компенсировано динамикой животноводства. Значительно замедлилось производство скота и птицы, молока. Рост про</w:t>
      </w:r>
      <w:r>
        <w:rPr>
          <w:sz w:val="24"/>
          <w:szCs w:val="24"/>
        </w:rPr>
        <w:t>изводства яиц практически остановился на фоне снижения поголовья птицы (на 2,3 % г/г).</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E85D42">
      <w:pPr>
        <w:jc w:val="both"/>
        <w:rPr>
          <w:sz w:val="24"/>
          <w:szCs w:val="24"/>
        </w:rPr>
      </w:pPr>
    </w:p>
    <w:p w:rsidR="00E85D42" w:rsidRDefault="008113B9">
      <w:pPr>
        <w:jc w:val="both"/>
        <w:rPr>
          <w:sz w:val="24"/>
          <w:szCs w:val="24"/>
        </w:rPr>
      </w:pPr>
      <w:r>
        <w:rPr>
          <w:sz w:val="24"/>
          <w:szCs w:val="24"/>
        </w:rPr>
        <w:t>Рис. 3.1.1.5 В 2018 г. наблюдалась нормализация урожая зерновых</w:t>
      </w:r>
    </w:p>
    <w:p w:rsidR="00E85D42" w:rsidRDefault="00E85D42">
      <w:pPr>
        <w:jc w:val="both"/>
        <w:rPr>
          <w:sz w:val="24"/>
          <w:szCs w:val="24"/>
        </w:rPr>
      </w:pPr>
    </w:p>
    <w:p w:rsidR="00E85D42" w:rsidRDefault="008113B9">
      <w:pPr>
        <w:jc w:val="both"/>
        <w:rPr>
          <w:sz w:val="24"/>
          <w:szCs w:val="24"/>
        </w:rPr>
      </w:pPr>
      <w:r>
        <w:rPr>
          <w:sz w:val="24"/>
          <w:szCs w:val="24"/>
        </w:rPr>
        <w:t xml:space="preserve">Рис. 3.1.1.6 Рост производства в животноводстве в 2018 г. замедлился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370015"/>
            <wp:effectExtent l="0" t="0" r="3173" b="0"/>
            <wp:docPr id="17"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rcRect t="13544"/>
                    <a:stretch>
                      <a:fillRect/>
                    </a:stretch>
                  </pic:blipFill>
                  <pic:spPr>
                    <a:xfrm>
                      <a:off x="0" y="0"/>
                      <a:ext cx="5940427" cy="2370015"/>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jc w:val="both"/>
        <w:rPr>
          <w:sz w:val="24"/>
          <w:szCs w:val="24"/>
        </w:rPr>
      </w:pPr>
      <w:r>
        <w:rPr>
          <w:sz w:val="24"/>
          <w:szCs w:val="24"/>
        </w:rPr>
        <w:t>Показатели сельского хозяйст</w:t>
      </w:r>
      <w:r>
        <w:rPr>
          <w:sz w:val="24"/>
          <w:szCs w:val="24"/>
        </w:rPr>
        <w:t>ва в 2018 году</w:t>
      </w:r>
    </w:p>
    <w:p w:rsidR="00E85D42" w:rsidRDefault="008113B9">
      <w:pPr>
        <w:jc w:val="right"/>
        <w:rPr>
          <w:sz w:val="24"/>
          <w:szCs w:val="24"/>
        </w:rPr>
      </w:pPr>
      <w:r>
        <w:rPr>
          <w:sz w:val="24"/>
          <w:szCs w:val="24"/>
        </w:rPr>
        <w:t>Таблица 3.1.1.3</w:t>
      </w:r>
    </w:p>
    <w:p w:rsidR="00E85D42" w:rsidRDefault="008113B9">
      <w:pPr>
        <w:jc w:val="both"/>
      </w:pPr>
      <w:r>
        <w:rPr>
          <w:noProof/>
          <w:sz w:val="24"/>
          <w:szCs w:val="24"/>
        </w:rPr>
        <w:drawing>
          <wp:inline distT="0" distB="0" distL="0" distR="0">
            <wp:extent cx="5940427" cy="1536475"/>
            <wp:effectExtent l="0" t="0" r="3173" b="6575"/>
            <wp:docPr id="18"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rcRect t="10417"/>
                    <a:stretch>
                      <a:fillRect/>
                    </a:stretch>
                  </pic:blipFill>
                  <pic:spPr>
                    <a:xfrm>
                      <a:off x="0" y="0"/>
                      <a:ext cx="5940427" cy="1536475"/>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pPr>
      <w:r>
        <w:rPr>
          <w:b/>
          <w:i/>
          <w:sz w:val="24"/>
          <w:szCs w:val="24"/>
        </w:rPr>
        <w:t>Внутренний спрос</w:t>
      </w:r>
    </w:p>
    <w:p w:rsidR="00E85D42" w:rsidRDefault="008113B9">
      <w:pPr>
        <w:ind w:firstLine="709"/>
        <w:jc w:val="both"/>
        <w:rPr>
          <w:sz w:val="24"/>
          <w:szCs w:val="24"/>
        </w:rPr>
      </w:pPr>
      <w:r>
        <w:rPr>
          <w:sz w:val="24"/>
          <w:szCs w:val="24"/>
        </w:rPr>
        <w:t>В течение 2018 г. наблюдалось перераспределение источников экономического роста от внутреннего спроса к внешнему.</w:t>
      </w:r>
    </w:p>
    <w:p w:rsidR="00E85D42" w:rsidRDefault="008113B9">
      <w:pPr>
        <w:ind w:firstLine="709"/>
        <w:jc w:val="both"/>
        <w:rPr>
          <w:sz w:val="24"/>
          <w:szCs w:val="24"/>
        </w:rPr>
      </w:pPr>
      <w:r>
        <w:rPr>
          <w:sz w:val="24"/>
          <w:szCs w:val="24"/>
        </w:rPr>
        <w:t>Основной вклад в рост ВВП в 2018 г. внес потребительский спрос, который увеличился на 2,2 %</w:t>
      </w:r>
      <w:r>
        <w:rPr>
          <w:sz w:val="24"/>
          <w:szCs w:val="24"/>
        </w:rPr>
        <w:t xml:space="preserve"> по сравнению с 3,2 % в 2017 году.</w:t>
      </w:r>
    </w:p>
    <w:p w:rsidR="00E85D42" w:rsidRDefault="008113B9">
      <w:pPr>
        <w:ind w:firstLine="709"/>
        <w:jc w:val="both"/>
        <w:rPr>
          <w:sz w:val="24"/>
          <w:szCs w:val="24"/>
        </w:rPr>
      </w:pPr>
      <w:r>
        <w:rPr>
          <w:sz w:val="24"/>
          <w:szCs w:val="24"/>
        </w:rPr>
        <w:t>Оборот розничной торговли в 2018 г. вырос на 2,6 % после 1,3 % годом ранее, в том числе за счет расширения спроса на товары длительного пользования. Автомобильный рынок второй год подряд показал двузначный рост (на 12,8 %</w:t>
      </w:r>
      <w:r>
        <w:rPr>
          <w:sz w:val="24"/>
          <w:szCs w:val="24"/>
        </w:rPr>
        <w:t xml:space="preserve"> в 2018 г. после 11,9 % в 2017 году). Кроме того, рост оборота общественного питания ускорился до 3,6 % в 2018 г. с 3,2 % в 2017 году, что стало отражением в том числе проведенного в России чемпионата мира по футболу. Вместе с тем перечисленные индикаторы </w:t>
      </w:r>
      <w:r>
        <w:rPr>
          <w:sz w:val="24"/>
          <w:szCs w:val="24"/>
        </w:rPr>
        <w:t>потребительского спроса в течение года демонстрировали нисходящую годовую динамику. Так, темпы роста продаж легковых автомобилей в декабре составили 5,6 % г/г, что стало самым низким показателем с начала восстановления автомобильного рынка в 1 квартале 201</w:t>
      </w:r>
      <w:r>
        <w:rPr>
          <w:sz w:val="24"/>
          <w:szCs w:val="24"/>
        </w:rPr>
        <w:t>7 года.</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 xml:space="preserve">Рис. 3.1.1.7 Темпы роста продаж новых легковых автомобилей в течение года снижались  </w:t>
      </w:r>
    </w:p>
    <w:p w:rsidR="00E85D42" w:rsidRDefault="008113B9">
      <w:pPr>
        <w:jc w:val="both"/>
        <w:rPr>
          <w:sz w:val="24"/>
          <w:szCs w:val="24"/>
        </w:rPr>
      </w:pPr>
      <w:r>
        <w:rPr>
          <w:sz w:val="24"/>
          <w:szCs w:val="24"/>
        </w:rPr>
        <w:t xml:space="preserve">Рис. 3.1.1.8 Рост покупок товаров в иностранных Интернет-магазинах также замедлился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1757869"/>
            <wp:effectExtent l="0" t="0" r="3173" b="0"/>
            <wp:docPr id="19"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rcRect t="17067"/>
                    <a:stretch>
                      <a:fillRect/>
                    </a:stretch>
                  </pic:blipFill>
                  <pic:spPr>
                    <a:xfrm>
                      <a:off x="0" y="0"/>
                      <a:ext cx="5940427" cy="1757869"/>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pPr>
      <w:r>
        <w:rPr>
          <w:sz w:val="24"/>
          <w:szCs w:val="24"/>
        </w:rPr>
        <w:t xml:space="preserve">Прочие компоненты потребительского спроса, которые включаются в </w:t>
      </w:r>
      <w:r>
        <w:rPr>
          <w:sz w:val="24"/>
          <w:szCs w:val="24"/>
        </w:rPr>
        <w:t>показатель конечного потребления домашних хозяйств, в 2018 г. продолжили демонстрировать позитивную динамику, однако темпы их роста снизились по сравнению с 2017 годом. По данным Росавиации, рост пассажирских перевозок в 2018 г. замедлился до 10,6 % с 18,6</w:t>
      </w:r>
      <w:r>
        <w:rPr>
          <w:sz w:val="24"/>
          <w:szCs w:val="24"/>
        </w:rPr>
        <w:t xml:space="preserve"> % годом ранее, главным образом за счет международных направлений. Покупки в зарубежных Интернет-магазинах в январе</w:t>
      </w:r>
      <w:r>
        <w:rPr>
          <w:rFonts w:ascii="Symbol" w:eastAsia="Symbol" w:hAnsi="Symbol" w:cs="Symbol"/>
          <w:sz w:val="24"/>
          <w:szCs w:val="24"/>
        </w:rPr>
        <w:t></w:t>
      </w:r>
      <w:r>
        <w:rPr>
          <w:sz w:val="24"/>
          <w:szCs w:val="24"/>
        </w:rPr>
        <w:t xml:space="preserve">сентябре 2018 г. увеличились на 6,5 % в долларовом эквиваленте после роста на 83,9 % в 2017 г. (в рублевом эквиваленте – 17,9% г/г против </w:t>
      </w:r>
      <w:r>
        <w:rPr>
          <w:sz w:val="24"/>
          <w:szCs w:val="24"/>
        </w:rPr>
        <w:t>63,7% соответственно)</w:t>
      </w:r>
    </w:p>
    <w:p w:rsidR="00E85D42" w:rsidRDefault="00E85D42">
      <w:pPr>
        <w:ind w:firstLine="709"/>
        <w:jc w:val="both"/>
        <w:rPr>
          <w:sz w:val="24"/>
          <w:szCs w:val="24"/>
        </w:rPr>
      </w:pPr>
    </w:p>
    <w:p w:rsidR="00E85D42" w:rsidRDefault="008113B9">
      <w:pPr>
        <w:jc w:val="both"/>
        <w:rPr>
          <w:sz w:val="24"/>
          <w:szCs w:val="24"/>
        </w:rPr>
      </w:pPr>
      <w:r>
        <w:rPr>
          <w:sz w:val="24"/>
          <w:szCs w:val="24"/>
        </w:rPr>
        <w:t>Рис. 3.1.1.11 Основной вклад в ускорение ВВП в 2018 г. внес внешний спрос</w:t>
      </w:r>
    </w:p>
    <w:p w:rsidR="00E85D42" w:rsidRDefault="008113B9">
      <w:pPr>
        <w:jc w:val="both"/>
      </w:pPr>
      <w:r>
        <w:rPr>
          <w:noProof/>
          <w:sz w:val="24"/>
          <w:szCs w:val="24"/>
        </w:rPr>
        <w:drawing>
          <wp:inline distT="0" distB="0" distL="0" distR="0">
            <wp:extent cx="5940427" cy="1920386"/>
            <wp:effectExtent l="0" t="0" r="3173" b="3664"/>
            <wp:docPr id="20"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rcRect t="12188"/>
                    <a:stretch>
                      <a:fillRect/>
                    </a:stretch>
                  </pic:blipFill>
                  <pic:spPr>
                    <a:xfrm>
                      <a:off x="0" y="0"/>
                      <a:ext cx="5940427" cy="1920386"/>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Рост валового накопления основного капитала замедлился до 2,3 % в 2018 г. (с 5,5 % в 2017 г.) при сохранении инвестиционной активности приблизительно на уро</w:t>
      </w:r>
      <w:r>
        <w:rPr>
          <w:sz w:val="24"/>
          <w:szCs w:val="24"/>
        </w:rPr>
        <w:t>вне прошлого года (4,1 % г/г, согласно оперативным данным Росстат за январь–сентябрь 2018 года). По информации Росстата, опубликованной на официальном сайте, это обусловлено тем, что приобретение продуктов интеллектуальной собственности и других активов, н</w:t>
      </w:r>
      <w:r>
        <w:rPr>
          <w:sz w:val="24"/>
          <w:szCs w:val="24"/>
        </w:rPr>
        <w:t>е включаемых в состав инвестиций в основной капитал, по предварительной оценке, сократилось.</w:t>
      </w:r>
    </w:p>
    <w:p w:rsidR="00E85D42" w:rsidRDefault="008113B9">
      <w:pPr>
        <w:ind w:firstLine="709"/>
        <w:jc w:val="both"/>
        <w:rPr>
          <w:sz w:val="24"/>
          <w:szCs w:val="24"/>
        </w:rPr>
      </w:pPr>
      <w:r>
        <w:rPr>
          <w:sz w:val="24"/>
          <w:szCs w:val="24"/>
        </w:rPr>
        <w:t>На фоне ослабления рубля темпы роста импорта товаров и услуг снизились до 3,8 % в 2018 г. после 17,4 % годом ранее. При этом экспорт товаров и услуг продолжал увер</w:t>
      </w:r>
      <w:r>
        <w:rPr>
          <w:sz w:val="24"/>
          <w:szCs w:val="24"/>
        </w:rPr>
        <w:t xml:space="preserve">енно расти (на 6,3 % в реальном выражении после 5,0 % годом ранее). В результате вклад чистого экспорта в темпы роста ВВП в 2018 г., по оценке, составил 0,8 п.п. (по сравнению с -2,3 п.п. годом ранее). Таким образом, чистый экспорт более чем компенсировал </w:t>
      </w:r>
      <w:r>
        <w:rPr>
          <w:sz w:val="24"/>
          <w:szCs w:val="24"/>
        </w:rPr>
        <w:t>замедление внутреннего спроса и стал основным драйвером ускорения роста ВВП в 2018 году.</w:t>
      </w: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8113B9">
      <w:pPr>
        <w:ind w:firstLine="709"/>
        <w:jc w:val="center"/>
        <w:rPr>
          <w:sz w:val="24"/>
          <w:szCs w:val="24"/>
        </w:rPr>
      </w:pPr>
      <w:r>
        <w:rPr>
          <w:sz w:val="24"/>
          <w:szCs w:val="24"/>
        </w:rPr>
        <w:t>Показатели потребительской активности</w:t>
      </w:r>
    </w:p>
    <w:p w:rsidR="00E85D42" w:rsidRDefault="008113B9">
      <w:pPr>
        <w:jc w:val="right"/>
        <w:rPr>
          <w:sz w:val="24"/>
          <w:szCs w:val="24"/>
        </w:rPr>
      </w:pPr>
      <w:r>
        <w:rPr>
          <w:sz w:val="24"/>
          <w:szCs w:val="24"/>
        </w:rPr>
        <w:t>Таблица 3.1.1.4</w:t>
      </w:r>
    </w:p>
    <w:p w:rsidR="00E85D42" w:rsidRDefault="008113B9">
      <w:pPr>
        <w:jc w:val="both"/>
      </w:pPr>
      <w:r>
        <w:rPr>
          <w:noProof/>
          <w:sz w:val="24"/>
          <w:szCs w:val="24"/>
        </w:rPr>
        <w:drawing>
          <wp:inline distT="0" distB="0" distL="0" distR="0">
            <wp:extent cx="5940427" cy="2229974"/>
            <wp:effectExtent l="0" t="0" r="3173" b="0"/>
            <wp:docPr id="21"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rcRect t="8737"/>
                    <a:stretch>
                      <a:fillRect/>
                    </a:stretch>
                  </pic:blipFill>
                  <pic:spPr>
                    <a:xfrm>
                      <a:off x="0" y="0"/>
                      <a:ext cx="5940427" cy="2229974"/>
                    </a:xfrm>
                    <a:prstGeom prst="rect">
                      <a:avLst/>
                    </a:prstGeom>
                    <a:noFill/>
                    <a:ln>
                      <a:noFill/>
                      <a:prstDash/>
                    </a:ln>
                  </pic:spPr>
                </pic:pic>
              </a:graphicData>
            </a:graphic>
          </wp:inline>
        </w:drawing>
      </w:r>
    </w:p>
    <w:p w:rsidR="00E85D42" w:rsidRDefault="008113B9">
      <w:pPr>
        <w:jc w:val="center"/>
        <w:rPr>
          <w:sz w:val="24"/>
          <w:szCs w:val="24"/>
        </w:rPr>
      </w:pPr>
      <w:r>
        <w:rPr>
          <w:sz w:val="24"/>
          <w:szCs w:val="24"/>
        </w:rPr>
        <w:t>Показатели инвестиционной активности</w:t>
      </w:r>
    </w:p>
    <w:p w:rsidR="00E85D42" w:rsidRDefault="008113B9">
      <w:pPr>
        <w:jc w:val="right"/>
        <w:rPr>
          <w:sz w:val="24"/>
          <w:szCs w:val="24"/>
        </w:rPr>
      </w:pPr>
      <w:r>
        <w:rPr>
          <w:sz w:val="24"/>
          <w:szCs w:val="24"/>
        </w:rPr>
        <w:t>Таблица 3.1.1.5</w:t>
      </w:r>
    </w:p>
    <w:p w:rsidR="00E85D42" w:rsidRDefault="008113B9">
      <w:pPr>
        <w:jc w:val="both"/>
      </w:pPr>
      <w:r>
        <w:rPr>
          <w:noProof/>
          <w:sz w:val="24"/>
          <w:szCs w:val="24"/>
        </w:rPr>
        <w:drawing>
          <wp:inline distT="0" distB="0" distL="0" distR="0">
            <wp:extent cx="5940427" cy="2926253"/>
            <wp:effectExtent l="0" t="0" r="3173" b="7447"/>
            <wp:docPr id="22"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rcRect t="6107"/>
                    <a:stretch>
                      <a:fillRect/>
                    </a:stretch>
                  </pic:blipFill>
                  <pic:spPr>
                    <a:xfrm>
                      <a:off x="0" y="0"/>
                      <a:ext cx="5940427" cy="2926253"/>
                    </a:xfrm>
                    <a:prstGeom prst="rect">
                      <a:avLst/>
                    </a:prstGeom>
                    <a:noFill/>
                    <a:ln>
                      <a:noFill/>
                      <a:prstDash/>
                    </a:ln>
                  </pic:spPr>
                </pic:pic>
              </a:graphicData>
            </a:graphic>
          </wp:inline>
        </w:drawing>
      </w:r>
    </w:p>
    <w:p w:rsidR="00E85D42" w:rsidRDefault="008113B9">
      <w:pPr>
        <w:jc w:val="both"/>
      </w:pPr>
      <w:r>
        <w:rPr>
          <w:noProof/>
          <w:sz w:val="24"/>
          <w:szCs w:val="24"/>
        </w:rPr>
        <w:drawing>
          <wp:inline distT="0" distB="0" distL="0" distR="0">
            <wp:extent cx="5940427" cy="734692"/>
            <wp:effectExtent l="0" t="0" r="3173" b="8258"/>
            <wp:docPr id="23"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940427" cy="734692"/>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pPr>
      <w:r>
        <w:rPr>
          <w:b/>
          <w:i/>
          <w:sz w:val="24"/>
          <w:szCs w:val="24"/>
        </w:rPr>
        <w:t>Рынок труда</w:t>
      </w:r>
    </w:p>
    <w:p w:rsidR="00E85D42" w:rsidRDefault="008113B9">
      <w:pPr>
        <w:ind w:firstLine="709"/>
        <w:jc w:val="both"/>
        <w:rPr>
          <w:sz w:val="24"/>
          <w:szCs w:val="24"/>
        </w:rPr>
      </w:pPr>
      <w:r>
        <w:rPr>
          <w:sz w:val="24"/>
          <w:szCs w:val="24"/>
        </w:rPr>
        <w:t>Ситуация на рынке труда в 2018 г. харак</w:t>
      </w:r>
      <w:r>
        <w:rPr>
          <w:sz w:val="24"/>
          <w:szCs w:val="24"/>
        </w:rPr>
        <w:t>теризовалась активным ростом заработных плат как в социальном, так и во внебюджетном секторах.</w:t>
      </w:r>
    </w:p>
    <w:p w:rsidR="00E85D42" w:rsidRDefault="008113B9">
      <w:pPr>
        <w:ind w:firstLine="709"/>
        <w:jc w:val="both"/>
        <w:rPr>
          <w:sz w:val="24"/>
          <w:szCs w:val="24"/>
        </w:rPr>
      </w:pPr>
      <w:r>
        <w:rPr>
          <w:sz w:val="24"/>
          <w:szCs w:val="24"/>
        </w:rPr>
        <w:t>По предварительной оценке Росстата, в целом за 2018 год рост реальной заработной платы составил 6,8 % (в 2017 г. – 2,9 %).</w:t>
      </w:r>
    </w:p>
    <w:p w:rsidR="00E85D42" w:rsidRDefault="008113B9">
      <w:pPr>
        <w:ind w:firstLine="709"/>
        <w:jc w:val="both"/>
        <w:rPr>
          <w:sz w:val="24"/>
          <w:szCs w:val="24"/>
        </w:rPr>
      </w:pPr>
      <w:r>
        <w:rPr>
          <w:sz w:val="24"/>
          <w:szCs w:val="24"/>
        </w:rPr>
        <w:t>Существенное увеличение темпов роста з</w:t>
      </w:r>
      <w:r>
        <w:rPr>
          <w:sz w:val="24"/>
          <w:szCs w:val="24"/>
        </w:rPr>
        <w:t xml:space="preserve">аработных плат в 2018 г. было связано в первую очередь с достижением соотношений, установленных указами Президента Российской Федерации в части повышения оплаты труда отдельных категорий работников бюджетной сферы. По оценке Минэкономразвития России, темп </w:t>
      </w:r>
      <w:r>
        <w:rPr>
          <w:sz w:val="24"/>
          <w:szCs w:val="24"/>
        </w:rPr>
        <w:t>роста реальных заработных плат в социальном секторе экономики в январе–ноябре составил 16,8 % г/г.</w:t>
      </w:r>
    </w:p>
    <w:p w:rsidR="00E85D42" w:rsidRDefault="00E85D42">
      <w:pPr>
        <w:ind w:firstLine="709"/>
        <w:jc w:val="both"/>
        <w:rPr>
          <w:sz w:val="24"/>
          <w:szCs w:val="24"/>
        </w:rPr>
      </w:pPr>
    </w:p>
    <w:p w:rsidR="00E85D42" w:rsidRDefault="00E85D42">
      <w:pPr>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Рис. 3.1.1.12 В 2018 г. рост реальной заработной платы ускорился</w:t>
      </w:r>
    </w:p>
    <w:p w:rsidR="00E85D42" w:rsidRDefault="008113B9">
      <w:pPr>
        <w:jc w:val="both"/>
        <w:rPr>
          <w:sz w:val="24"/>
          <w:szCs w:val="24"/>
        </w:rPr>
      </w:pPr>
      <w:r>
        <w:rPr>
          <w:sz w:val="24"/>
          <w:szCs w:val="24"/>
        </w:rPr>
        <w:t xml:space="preserve"> Рис. 3.1.1.13 … на фоне опережающего роста в социальном секторе</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037301"/>
            <wp:effectExtent l="0" t="0" r="3173" b="1049"/>
            <wp:docPr id="24"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rcRect t="17054"/>
                    <a:stretch>
                      <a:fillRect/>
                    </a:stretch>
                  </pic:blipFill>
                  <pic:spPr>
                    <a:xfrm>
                      <a:off x="0" y="0"/>
                      <a:ext cx="5940427" cy="2037301"/>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Рост заработных плат</w:t>
      </w:r>
      <w:r>
        <w:rPr>
          <w:sz w:val="24"/>
          <w:szCs w:val="24"/>
        </w:rPr>
        <w:t xml:space="preserve"> в частном секторе, по оценке Минэкономразвития России, составил 6,3 % г/г в реальном выражении в январе–ноябре 2018 года. Дополнительными факторами роста заработных плат как в социальном, так и во внебюджетном секторах в 2018 г. стали индексация оплаты тр</w:t>
      </w:r>
      <w:r>
        <w:rPr>
          <w:sz w:val="24"/>
          <w:szCs w:val="24"/>
        </w:rPr>
        <w:t>уда других работников бюджетной сферы и повышение минимального размера оплаты труда с 1 января и с 1 мая 2018 года.</w:t>
      </w:r>
    </w:p>
    <w:p w:rsidR="00E85D42" w:rsidRDefault="008113B9">
      <w:pPr>
        <w:ind w:firstLine="709"/>
        <w:jc w:val="both"/>
        <w:rPr>
          <w:sz w:val="24"/>
          <w:szCs w:val="24"/>
        </w:rPr>
      </w:pPr>
      <w:r>
        <w:rPr>
          <w:sz w:val="24"/>
          <w:szCs w:val="24"/>
        </w:rPr>
        <w:t>В конце года наметилась тенденция к стабилизации роста реальных заработных плат (по предварительной оценке Росстата, 2,5 % г/г в декабре). Д</w:t>
      </w:r>
      <w:r>
        <w:rPr>
          <w:sz w:val="24"/>
          <w:szCs w:val="24"/>
        </w:rPr>
        <w:t>анное замедление было ожидаемым и было связано с изменением внутригодовой динамики оплаты труда в социальном секторе в 2018 г. из-за особенностей достижения установленных президентскими указами целевых соотношений, а также с ускорением потребительской инфл</w:t>
      </w:r>
      <w:r>
        <w:rPr>
          <w:sz w:val="24"/>
          <w:szCs w:val="24"/>
        </w:rPr>
        <w:t>яции во второй половине года.</w:t>
      </w:r>
    </w:p>
    <w:p w:rsidR="00E85D42" w:rsidRDefault="00E85D42">
      <w:pPr>
        <w:ind w:firstLine="709"/>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Рис. 3.1.1.14 Безработица в течение 2018г. достигла исторических минимумов…</w:t>
      </w:r>
    </w:p>
    <w:p w:rsidR="00E85D42" w:rsidRDefault="008113B9">
      <w:pPr>
        <w:jc w:val="both"/>
        <w:rPr>
          <w:sz w:val="24"/>
          <w:szCs w:val="24"/>
        </w:rPr>
      </w:pPr>
      <w:r>
        <w:rPr>
          <w:sz w:val="24"/>
          <w:szCs w:val="24"/>
        </w:rPr>
        <w:t xml:space="preserve"> Рис. 3.1.1.15 … в условиях стагнации численности рабочей силы</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189658"/>
            <wp:effectExtent l="0" t="0" r="3173" b="1092"/>
            <wp:docPr id="25"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rcRect t="13858"/>
                    <a:stretch>
                      <a:fillRect/>
                    </a:stretch>
                  </pic:blipFill>
                  <pic:spPr>
                    <a:xfrm>
                      <a:off x="0" y="0"/>
                      <a:ext cx="5940427" cy="2189658"/>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Уровень безработицы в 2018 г. опустился до исторического минимума 4,8 %.</w:t>
      </w:r>
    </w:p>
    <w:p w:rsidR="00E85D42" w:rsidRDefault="008113B9">
      <w:pPr>
        <w:ind w:firstLine="709"/>
        <w:jc w:val="both"/>
        <w:rPr>
          <w:sz w:val="24"/>
          <w:szCs w:val="24"/>
        </w:rPr>
      </w:pPr>
      <w:r>
        <w:rPr>
          <w:sz w:val="24"/>
          <w:szCs w:val="24"/>
        </w:rPr>
        <w:t xml:space="preserve">В целом </w:t>
      </w:r>
      <w:r>
        <w:rPr>
          <w:sz w:val="24"/>
          <w:szCs w:val="24"/>
        </w:rPr>
        <w:t xml:space="preserve">за 2018 г. совокупная численность рабочей силы изменилась незначительно, снизившись по сравнению с 2017 годом на 95,3 тыс. человек (-0,1 %). При этом наблюдалось дальнейшее перераспределение рабочей силы между занятыми и безработными. Численность занятого </w:t>
      </w:r>
      <w:r>
        <w:rPr>
          <w:sz w:val="24"/>
          <w:szCs w:val="24"/>
        </w:rPr>
        <w:t>населения увеличилась на 215,7 тыс. человек (+0,3 %) за счет снижения общей численности безработных на 311,0 тыс. человек (-7,8 %).</w:t>
      </w:r>
    </w:p>
    <w:p w:rsidR="00E85D42" w:rsidRDefault="008113B9">
      <w:pPr>
        <w:ind w:firstLine="709"/>
        <w:jc w:val="both"/>
        <w:rPr>
          <w:sz w:val="24"/>
          <w:szCs w:val="24"/>
        </w:rPr>
      </w:pPr>
      <w:r>
        <w:rPr>
          <w:sz w:val="24"/>
          <w:szCs w:val="24"/>
        </w:rPr>
        <w:t>Об ограничениях на рынке труда свидетельствуют и данные компании HeadHunter. Публикуемый ею hh-индекс, который показывает де</w:t>
      </w:r>
      <w:r>
        <w:rPr>
          <w:sz w:val="24"/>
          <w:szCs w:val="24"/>
        </w:rPr>
        <w:t>фицитность специалистов через отношение количества активных резюме к вакансиям, снизился по сравнению с предыдущим годом на 0,9 п. (до 5,7 пунктов в среднем за 2018 год). На протяжении 2018 г. ограниченное предложение кадров требуемой квалификации наблюдал</w:t>
      </w:r>
      <w:r>
        <w:rPr>
          <w:sz w:val="24"/>
          <w:szCs w:val="24"/>
        </w:rPr>
        <w:t>ось среди рабочего персонала, медицины и фармацевтики.</w:t>
      </w:r>
    </w:p>
    <w:p w:rsidR="00E85D42" w:rsidRDefault="00E85D42">
      <w:pPr>
        <w:ind w:firstLine="709"/>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pPr>
      <w:r>
        <w:rPr>
          <w:sz w:val="24"/>
          <w:szCs w:val="24"/>
        </w:rPr>
        <w:t xml:space="preserve">Рис. 3.1.1.16 За 2018 год </w:t>
      </w:r>
      <w:r>
        <w:rPr>
          <w:sz w:val="24"/>
          <w:szCs w:val="24"/>
          <w:lang w:val="en-US"/>
        </w:rPr>
        <w:t>hh</w:t>
      </w:r>
      <w:r>
        <w:rPr>
          <w:sz w:val="24"/>
          <w:szCs w:val="24"/>
        </w:rPr>
        <w:t>-индекс  снизился по сравнению с 2017 годом</w:t>
      </w:r>
    </w:p>
    <w:p w:rsidR="00E85D42" w:rsidRDefault="008113B9">
      <w:pPr>
        <w:jc w:val="both"/>
        <w:rPr>
          <w:sz w:val="24"/>
          <w:szCs w:val="24"/>
        </w:rPr>
      </w:pPr>
      <w:r>
        <w:rPr>
          <w:sz w:val="24"/>
          <w:szCs w:val="24"/>
        </w:rPr>
        <w:t xml:space="preserve"> Рис. 3.1.1.17 Ограниченное предложение кадров наблюдается в некоторых сферах экономической деятельности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904582"/>
            <wp:effectExtent l="0" t="0" r="3173" b="0"/>
            <wp:docPr id="26"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rcRect t="15041"/>
                    <a:stretch>
                      <a:fillRect/>
                    </a:stretch>
                  </pic:blipFill>
                  <pic:spPr>
                    <a:xfrm>
                      <a:off x="0" y="0"/>
                      <a:ext cx="5940427" cy="2904582"/>
                    </a:xfrm>
                    <a:prstGeom prst="rect">
                      <a:avLst/>
                    </a:prstGeom>
                    <a:noFill/>
                    <a:ln>
                      <a:noFill/>
                      <a:prstDash/>
                    </a:ln>
                  </pic:spPr>
                </pic:pic>
              </a:graphicData>
            </a:graphic>
          </wp:inline>
        </w:drawing>
      </w: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8113B9">
      <w:pPr>
        <w:jc w:val="center"/>
        <w:rPr>
          <w:sz w:val="24"/>
          <w:szCs w:val="24"/>
        </w:rPr>
      </w:pPr>
      <w:r>
        <w:rPr>
          <w:sz w:val="24"/>
          <w:szCs w:val="24"/>
        </w:rPr>
        <w:t>Показатели рынка труда</w:t>
      </w:r>
    </w:p>
    <w:p w:rsidR="00E85D42" w:rsidRDefault="008113B9">
      <w:pPr>
        <w:jc w:val="right"/>
        <w:rPr>
          <w:sz w:val="24"/>
          <w:szCs w:val="24"/>
        </w:rPr>
      </w:pPr>
      <w:r>
        <w:rPr>
          <w:sz w:val="24"/>
          <w:szCs w:val="24"/>
        </w:rPr>
        <w:t>Таблица 3.1.1.6</w:t>
      </w:r>
    </w:p>
    <w:p w:rsidR="00E85D42" w:rsidRDefault="00E85D42">
      <w:pPr>
        <w:jc w:val="both"/>
        <w:rPr>
          <w:sz w:val="24"/>
          <w:szCs w:val="24"/>
        </w:rPr>
      </w:pPr>
    </w:p>
    <w:p w:rsidR="00E85D42" w:rsidRDefault="008113B9">
      <w:pPr>
        <w:jc w:val="both"/>
      </w:pPr>
      <w:r>
        <w:rPr>
          <w:noProof/>
          <w:sz w:val="24"/>
          <w:szCs w:val="24"/>
        </w:rPr>
        <w:drawing>
          <wp:inline distT="0" distB="0" distL="0" distR="0">
            <wp:extent cx="5947778" cy="4892634"/>
            <wp:effectExtent l="0" t="0" r="0" b="3216"/>
            <wp:docPr id="27" name="Рисунок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rcRect t="5287"/>
                    <a:stretch>
                      <a:fillRect/>
                    </a:stretch>
                  </pic:blipFill>
                  <pic:spPr>
                    <a:xfrm>
                      <a:off x="0" y="0"/>
                      <a:ext cx="5947778" cy="4892634"/>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pPr>
      <w:r>
        <w:rPr>
          <w:b/>
          <w:i/>
          <w:sz w:val="24"/>
          <w:szCs w:val="24"/>
        </w:rPr>
        <w:t>Инфляция</w:t>
      </w:r>
    </w:p>
    <w:p w:rsidR="00E85D42" w:rsidRDefault="008113B9">
      <w:pPr>
        <w:ind w:firstLine="709"/>
        <w:jc w:val="both"/>
      </w:pPr>
      <w:r>
        <w:rPr>
          <w:sz w:val="24"/>
          <w:szCs w:val="24"/>
        </w:rPr>
        <w:t>По данным Росстата</w:t>
      </w:r>
      <w:r>
        <w:rPr>
          <w:sz w:val="24"/>
          <w:szCs w:val="24"/>
          <w:vertAlign w:val="superscript"/>
        </w:rPr>
        <w:footnoteReference w:id="3"/>
      </w:r>
      <w:r>
        <w:rPr>
          <w:sz w:val="24"/>
          <w:szCs w:val="24"/>
        </w:rPr>
        <w:t xml:space="preserve">, инфляция в России </w:t>
      </w:r>
      <w:r>
        <w:rPr>
          <w:sz w:val="24"/>
          <w:szCs w:val="24"/>
        </w:rPr>
        <w:t>составила в декабре 0,8%, в ноябре - 0,5%, в октябре - 0,4%, в сентябре - 0,2%, в августе - 0%, в июле - 0,3%, в июне - 0,5%, в мае и апреле - 0,4%, в марте - 0,3%, в феврале - 0,2%, в январе - 0,3%.</w:t>
      </w:r>
    </w:p>
    <w:p w:rsidR="00E85D42" w:rsidRDefault="008113B9">
      <w:pPr>
        <w:ind w:firstLine="709"/>
        <w:jc w:val="both"/>
        <w:rPr>
          <w:sz w:val="24"/>
          <w:szCs w:val="24"/>
        </w:rPr>
      </w:pPr>
      <w:r>
        <w:rPr>
          <w:sz w:val="24"/>
          <w:szCs w:val="24"/>
        </w:rPr>
        <w:t>В целом за 2018 г. инфляция составила 4,2% после минимал</w:t>
      </w:r>
      <w:r>
        <w:rPr>
          <w:sz w:val="24"/>
          <w:szCs w:val="24"/>
        </w:rPr>
        <w:t xml:space="preserve">ьных за новейшую историю России 2,5% в 2017 г. </w:t>
      </w:r>
    </w:p>
    <w:p w:rsidR="00E85D42" w:rsidRDefault="008113B9">
      <w:pPr>
        <w:ind w:firstLine="709"/>
        <w:jc w:val="both"/>
        <w:rPr>
          <w:sz w:val="24"/>
          <w:szCs w:val="24"/>
        </w:rPr>
      </w:pPr>
      <w:r>
        <w:rPr>
          <w:sz w:val="24"/>
          <w:szCs w:val="24"/>
        </w:rPr>
        <w:t>В 2016 г. инфляция составила 5,4%, в 2015 г. - 12,9%, в 2014 г. - 11,4%, в 2013 г. - 6,5%, в 2012 г. - 6,6%, в 2011 г. - 6,1%.</w:t>
      </w:r>
    </w:p>
    <w:p w:rsidR="00E85D42" w:rsidRDefault="008113B9">
      <w:pPr>
        <w:ind w:firstLine="709"/>
        <w:jc w:val="both"/>
        <w:rPr>
          <w:sz w:val="24"/>
          <w:szCs w:val="24"/>
        </w:rPr>
      </w:pPr>
      <w:r>
        <w:rPr>
          <w:sz w:val="24"/>
          <w:szCs w:val="24"/>
        </w:rPr>
        <w:t>Показатель инфляции в 2018 г. совпал с верхней границей уточненного прогноза ЦБ (</w:t>
      </w:r>
      <w:r>
        <w:rPr>
          <w:sz w:val="24"/>
          <w:szCs w:val="24"/>
        </w:rPr>
        <w:t>3,9-4,2%) и оказался существенно выше уточненного прогноза правительства, заложенного в бюджет на 2018 г. (3,4%).</w:t>
      </w:r>
    </w:p>
    <w:p w:rsidR="00E85D42" w:rsidRDefault="008113B9">
      <w:pPr>
        <w:ind w:firstLine="709"/>
        <w:jc w:val="both"/>
        <w:rPr>
          <w:sz w:val="24"/>
          <w:szCs w:val="24"/>
        </w:rPr>
      </w:pPr>
      <w:r>
        <w:rPr>
          <w:sz w:val="24"/>
          <w:szCs w:val="24"/>
        </w:rPr>
        <w:t>Между тем продукты подорожали в декабре на 1,7%, а в 2018 г. - на 4,7% против 1,1% в 2017 г. Цены на непродовольственные товары выросли в дека</w:t>
      </w:r>
      <w:r>
        <w:rPr>
          <w:sz w:val="24"/>
          <w:szCs w:val="24"/>
        </w:rPr>
        <w:t xml:space="preserve">бре на 0,2%, а за год - на 4,1% против 2,8% в 2017 г. Услуги подорожали в декабре на 0,4%, а в 2018 г. - на 3,9% против 4,4% в 2017 г. </w:t>
      </w:r>
    </w:p>
    <w:p w:rsidR="00E85D42" w:rsidRDefault="00E85D42">
      <w:pPr>
        <w:ind w:firstLine="709"/>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ind w:firstLine="709"/>
        <w:jc w:val="both"/>
        <w:rPr>
          <w:sz w:val="24"/>
          <w:szCs w:val="24"/>
        </w:rPr>
      </w:pPr>
      <w:r>
        <w:rPr>
          <w:sz w:val="24"/>
          <w:szCs w:val="24"/>
        </w:rPr>
        <w:t xml:space="preserve">Рис. 3.1.1.18 Потребительская </w:t>
      </w:r>
    </w:p>
    <w:p w:rsidR="00E85D42" w:rsidRDefault="008113B9">
      <w:pPr>
        <w:ind w:firstLine="709"/>
        <w:jc w:val="both"/>
        <w:rPr>
          <w:sz w:val="24"/>
          <w:szCs w:val="24"/>
        </w:rPr>
      </w:pPr>
      <w:r>
        <w:rPr>
          <w:sz w:val="24"/>
          <w:szCs w:val="24"/>
        </w:rPr>
        <w:t>Инфляция ускорилась…</w:t>
      </w:r>
    </w:p>
    <w:p w:rsidR="00E85D42" w:rsidRDefault="008113B9">
      <w:pPr>
        <w:ind w:firstLine="709"/>
        <w:jc w:val="both"/>
        <w:rPr>
          <w:sz w:val="24"/>
          <w:szCs w:val="24"/>
        </w:rPr>
      </w:pPr>
      <w:r>
        <w:rPr>
          <w:sz w:val="24"/>
          <w:szCs w:val="24"/>
        </w:rPr>
        <w:t>Рис. 3.1.1.19 … в том числе за счет монетарного компонента</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413622"/>
            <wp:effectExtent l="0" t="0" r="3173" b="5728"/>
            <wp:docPr id="28" name="Рисунок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rcRect t="14527"/>
                    <a:stretch>
                      <a:fillRect/>
                    </a:stretch>
                  </pic:blipFill>
                  <pic:spPr>
                    <a:xfrm>
                      <a:off x="0" y="0"/>
                      <a:ext cx="5940427" cy="2413622"/>
                    </a:xfrm>
                    <a:prstGeom prst="rect">
                      <a:avLst/>
                    </a:prstGeom>
                    <a:noFill/>
                    <a:ln>
                      <a:noFill/>
                      <a:prstDash/>
                    </a:ln>
                  </pic:spPr>
                </pic:pic>
              </a:graphicData>
            </a:graphic>
          </wp:inline>
        </w:drawing>
      </w:r>
    </w:p>
    <w:p w:rsidR="00E85D42" w:rsidRDefault="008113B9">
      <w:pPr>
        <w:jc w:val="center"/>
        <w:rPr>
          <w:sz w:val="24"/>
          <w:szCs w:val="24"/>
        </w:rPr>
      </w:pPr>
      <w:r>
        <w:rPr>
          <w:sz w:val="24"/>
          <w:szCs w:val="24"/>
        </w:rPr>
        <w:t>Инди</w:t>
      </w:r>
      <w:r>
        <w:rPr>
          <w:sz w:val="24"/>
          <w:szCs w:val="24"/>
        </w:rPr>
        <w:t>каторы инфляции</w:t>
      </w:r>
    </w:p>
    <w:p w:rsidR="00E85D42" w:rsidRDefault="008113B9">
      <w:pPr>
        <w:jc w:val="right"/>
        <w:rPr>
          <w:sz w:val="24"/>
          <w:szCs w:val="24"/>
        </w:rPr>
      </w:pPr>
      <w:r>
        <w:rPr>
          <w:sz w:val="24"/>
          <w:szCs w:val="24"/>
        </w:rPr>
        <w:t>Таблица 3.1.1.7</w:t>
      </w:r>
    </w:p>
    <w:p w:rsidR="00E85D42" w:rsidRDefault="008113B9">
      <w:pPr>
        <w:jc w:val="both"/>
      </w:pPr>
      <w:r>
        <w:rPr>
          <w:noProof/>
          <w:sz w:val="24"/>
          <w:szCs w:val="24"/>
        </w:rPr>
        <w:drawing>
          <wp:inline distT="0" distB="0" distL="0" distR="0">
            <wp:extent cx="5940427" cy="3672349"/>
            <wp:effectExtent l="0" t="0" r="3173" b="4301"/>
            <wp:docPr id="29" name="Рисунок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rcRect t="6992"/>
                    <a:stretch>
                      <a:fillRect/>
                    </a:stretch>
                  </pic:blipFill>
                  <pic:spPr>
                    <a:xfrm>
                      <a:off x="0" y="0"/>
                      <a:ext cx="5940427" cy="3672349"/>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b/>
          <w:i/>
          <w:sz w:val="24"/>
          <w:szCs w:val="24"/>
        </w:rPr>
      </w:pPr>
      <w:r>
        <w:rPr>
          <w:b/>
          <w:i/>
          <w:sz w:val="24"/>
          <w:szCs w:val="24"/>
        </w:rPr>
        <w:t>О динамике доходов населения</w:t>
      </w:r>
    </w:p>
    <w:p w:rsidR="00E85D42" w:rsidRDefault="008113B9">
      <w:pPr>
        <w:ind w:firstLine="709"/>
        <w:jc w:val="both"/>
        <w:rPr>
          <w:sz w:val="24"/>
          <w:szCs w:val="24"/>
        </w:rPr>
      </w:pPr>
      <w:r>
        <w:rPr>
          <w:sz w:val="24"/>
          <w:szCs w:val="24"/>
        </w:rPr>
        <w:t>В 2018 году реальные располагаемые доходы населения снизились на 0,2 % по сравнению с предшествующим годом. При этом динамика основных компонентов доходов была разнонаправленной.</w:t>
      </w:r>
    </w:p>
    <w:p w:rsidR="00E85D42" w:rsidRDefault="008113B9">
      <w:pPr>
        <w:ind w:firstLine="709"/>
        <w:jc w:val="both"/>
        <w:rPr>
          <w:sz w:val="24"/>
          <w:szCs w:val="24"/>
        </w:rPr>
      </w:pPr>
      <w:r>
        <w:rPr>
          <w:sz w:val="24"/>
          <w:szCs w:val="24"/>
        </w:rPr>
        <w:t>Факторами, пр</w:t>
      </w:r>
      <w:r>
        <w:rPr>
          <w:sz w:val="24"/>
          <w:szCs w:val="24"/>
        </w:rPr>
        <w:t>едопределившими отрицательную динамику сводного показателя, стали:</w:t>
      </w:r>
    </w:p>
    <w:p w:rsidR="00E85D42" w:rsidRDefault="008113B9">
      <w:pPr>
        <w:ind w:firstLine="709"/>
        <w:jc w:val="both"/>
      </w:pPr>
      <w:r>
        <w:rPr>
          <w:rFonts w:ascii="Symbol" w:eastAsia="Symbol" w:hAnsi="Symbol" w:cs="Symbol"/>
          <w:sz w:val="24"/>
          <w:szCs w:val="24"/>
        </w:rPr>
        <w:t></w:t>
      </w:r>
      <w:r>
        <w:rPr>
          <w:sz w:val="24"/>
          <w:szCs w:val="24"/>
        </w:rPr>
        <w:t xml:space="preserve"> Сокращение доходов от собственности, в том числе от накоплений на депозитах в банковской системе. Последнее стало следствием снижения номинальных процентных ставок по вкладам на фоне сниж</w:t>
      </w:r>
      <w:r>
        <w:rPr>
          <w:sz w:val="24"/>
          <w:szCs w:val="24"/>
        </w:rPr>
        <w:t>ения инфляции. Общий вклад этого фактора достиг минус 0,5 п.п.</w:t>
      </w:r>
    </w:p>
    <w:p w:rsidR="00E85D42" w:rsidRDefault="008113B9">
      <w:pPr>
        <w:ind w:firstLine="709"/>
        <w:jc w:val="both"/>
      </w:pPr>
      <w:r>
        <w:rPr>
          <w:rFonts w:ascii="Symbol" w:eastAsia="Symbol" w:hAnsi="Symbol" w:cs="Symbol"/>
          <w:sz w:val="24"/>
          <w:szCs w:val="24"/>
        </w:rPr>
        <w:t></w:t>
      </w:r>
      <w:r>
        <w:rPr>
          <w:sz w:val="24"/>
          <w:szCs w:val="24"/>
        </w:rPr>
        <w:t xml:space="preserve"> Рост объемов процентных платежей по банковским кредитам. Их объем учитывается в статистике располагаемых доходов с отрицательным знаком. Двузначные темпы роста кредитования населения при сохр</w:t>
      </w:r>
      <w:r>
        <w:rPr>
          <w:sz w:val="24"/>
          <w:szCs w:val="24"/>
        </w:rPr>
        <w:t>анении процентных ставок по необеспеченным потребительским кредитам на высоком уровне обусловили рост расходов на обслуживание долга на 10,5% к уровню прошлого года. Отрицательный вклад в динамику реальных располагаемых доходов составил минус 0,2 п.п.</w:t>
      </w:r>
    </w:p>
    <w:p w:rsidR="00E85D42" w:rsidRDefault="008113B9">
      <w:pPr>
        <w:ind w:firstLine="709"/>
        <w:jc w:val="both"/>
      </w:pPr>
      <w:r>
        <w:rPr>
          <w:rFonts w:ascii="Symbol" w:eastAsia="Symbol" w:hAnsi="Symbol" w:cs="Symbol"/>
          <w:sz w:val="24"/>
          <w:szCs w:val="24"/>
        </w:rPr>
        <w:t></w:t>
      </w:r>
      <w:r>
        <w:rPr>
          <w:sz w:val="24"/>
          <w:szCs w:val="24"/>
        </w:rPr>
        <w:t xml:space="preserve"> Ро</w:t>
      </w:r>
      <w:r>
        <w:rPr>
          <w:sz w:val="24"/>
          <w:szCs w:val="24"/>
        </w:rPr>
        <w:t>ст прочих обязательных платежей, в том числе налоговых выплат. Повышение платежей по налогу на недвижимость, рост поступлений по налогам на доходы (на фоне их обеления) привели к приросту прочих обязательных платежей на 14,8 %. Вклад в общий показатель реа</w:t>
      </w:r>
      <w:r>
        <w:rPr>
          <w:sz w:val="24"/>
          <w:szCs w:val="24"/>
        </w:rPr>
        <w:t>льных располагаемых доходов составил минус 1,0 п.п.</w:t>
      </w:r>
    </w:p>
    <w:p w:rsidR="00E85D42" w:rsidRDefault="008113B9">
      <w:pPr>
        <w:ind w:firstLine="709"/>
        <w:jc w:val="both"/>
        <w:rPr>
          <w:sz w:val="24"/>
          <w:szCs w:val="24"/>
        </w:rPr>
      </w:pPr>
      <w:r>
        <w:rPr>
          <w:sz w:val="24"/>
          <w:szCs w:val="24"/>
        </w:rPr>
        <w:t>Факторами, оказавшими положительное либо нейтральное влияние, стали:</w:t>
      </w:r>
    </w:p>
    <w:p w:rsidR="00E85D42" w:rsidRDefault="008113B9">
      <w:pPr>
        <w:ind w:firstLine="709"/>
        <w:jc w:val="both"/>
      </w:pPr>
      <w:r>
        <w:rPr>
          <w:rFonts w:ascii="Symbol" w:eastAsia="Symbol" w:hAnsi="Symbol" w:cs="Symbol"/>
          <w:sz w:val="24"/>
          <w:szCs w:val="24"/>
        </w:rPr>
        <w:t></w:t>
      </w:r>
      <w:r>
        <w:rPr>
          <w:sz w:val="24"/>
          <w:szCs w:val="24"/>
        </w:rPr>
        <w:t xml:space="preserve"> Рост среднего уровня заработной платы. Оплата труда наемных работников увеличилась на 6,7 % в реальном выражении. Наряду с позитивной</w:t>
      </w:r>
      <w:r>
        <w:rPr>
          <w:sz w:val="24"/>
          <w:szCs w:val="24"/>
        </w:rPr>
        <w:t xml:space="preserve"> ситуацией на рынке труда росту заработных плат в реальном выражении способствовали повышение минимального размера оплаты труда, индексация оплаты труда работникам бюджетной сферы (в том числе в результате исполнения майских указов Президента от 2012 года)</w:t>
      </w:r>
      <w:r>
        <w:rPr>
          <w:sz w:val="24"/>
          <w:szCs w:val="24"/>
        </w:rPr>
        <w:t>.</w:t>
      </w:r>
    </w:p>
    <w:p w:rsidR="00E85D42" w:rsidRDefault="008113B9">
      <w:pPr>
        <w:ind w:firstLine="709"/>
        <w:jc w:val="both"/>
      </w:pPr>
      <w:r>
        <w:rPr>
          <w:rFonts w:ascii="Symbol" w:eastAsia="Symbol" w:hAnsi="Symbol" w:cs="Symbol"/>
          <w:sz w:val="24"/>
          <w:szCs w:val="24"/>
        </w:rPr>
        <w:t></w:t>
      </w:r>
      <w:r>
        <w:rPr>
          <w:sz w:val="24"/>
          <w:szCs w:val="24"/>
        </w:rPr>
        <w:t xml:space="preserve"> Близкая к инфляции динамика социальных платежей. Пенсии и другие социальные выплаты внесли слабоотрицательный вклад (менее 0,1 п.п.) в динамику реальных располагаемых доходов населения, что было связано с превышением фактически сложившегося </w:t>
      </w:r>
      <w:r>
        <w:rPr>
          <w:sz w:val="24"/>
          <w:szCs w:val="24"/>
        </w:rPr>
        <w:t>среднегодового уровня инфляции в 2018 году (2,9 %) над уровнем инфляции базового года, а также с высокой базой 2017 года, сформировавшейся в результате единовременной выплаты всем пенсионерам в размере 5000 рублей.</w:t>
      </w:r>
    </w:p>
    <w:p w:rsidR="00E85D42" w:rsidRDefault="008113B9">
      <w:pPr>
        <w:ind w:firstLine="709"/>
        <w:jc w:val="both"/>
        <w:rPr>
          <w:sz w:val="24"/>
          <w:szCs w:val="24"/>
        </w:rPr>
      </w:pPr>
      <w:r>
        <w:rPr>
          <w:sz w:val="24"/>
          <w:szCs w:val="24"/>
        </w:rPr>
        <w:t xml:space="preserve">Динамика «прочих доходов» в течение 2018 </w:t>
      </w:r>
      <w:r>
        <w:rPr>
          <w:sz w:val="24"/>
          <w:szCs w:val="24"/>
        </w:rPr>
        <w:t>года оставалась крайне волатильным показателем: ее динамика колебалась от ~ -7 % г/г до плюс ~3% г/г к уровню прошлого года. Показатель рассчитывается балансовым методом и представляет собой разницу между расходами на покупку товаров и услуг (рост на 5,6 %</w:t>
      </w:r>
      <w:r>
        <w:rPr>
          <w:sz w:val="24"/>
          <w:szCs w:val="24"/>
        </w:rPr>
        <w:t xml:space="preserve"> г/г в прошлом году) и динамикой сбережений. Меньший по сравнению с предыдущим годом прирост сбережений обусловил оценку темпа прироста «прочих доходов» на уровне -2,1 % г/г в номинальном выражении.</w:t>
      </w:r>
    </w:p>
    <w:p w:rsidR="00E85D42" w:rsidRDefault="008113B9">
      <w:pPr>
        <w:ind w:firstLine="709"/>
        <w:jc w:val="both"/>
        <w:rPr>
          <w:sz w:val="24"/>
          <w:szCs w:val="24"/>
        </w:rPr>
      </w:pPr>
      <w:r>
        <w:rPr>
          <w:sz w:val="24"/>
          <w:szCs w:val="24"/>
        </w:rPr>
        <w:t>Особенностью изменения уровня доходов населения в прошлом</w:t>
      </w:r>
      <w:r>
        <w:rPr>
          <w:sz w:val="24"/>
          <w:szCs w:val="24"/>
        </w:rPr>
        <w:t xml:space="preserve"> году стала серьезная дифференциация в зависимости от уровня доходов.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w:t>
      </w:r>
      <w:r>
        <w:rPr>
          <w:sz w:val="24"/>
          <w:szCs w:val="24"/>
        </w:rPr>
        <w:t>ченных групп населения. В то же время повышение МРОТ, увеличение выплат семьям с детьми, повышение зарплат в бюджетной сфере серьезно поддержали доходы менее обеспеченных групп населения.</w:t>
      </w:r>
    </w:p>
    <w:p w:rsidR="00E85D42" w:rsidRDefault="008113B9">
      <w:pPr>
        <w:ind w:firstLine="709"/>
        <w:jc w:val="both"/>
        <w:rPr>
          <w:sz w:val="24"/>
          <w:szCs w:val="24"/>
        </w:rPr>
      </w:pPr>
      <w:r>
        <w:rPr>
          <w:sz w:val="24"/>
          <w:szCs w:val="24"/>
        </w:rPr>
        <w:t>Согласно данным Росстата за январь–сентябрь 2018 года, наименьший ро</w:t>
      </w:r>
      <w:r>
        <w:rPr>
          <w:sz w:val="24"/>
          <w:szCs w:val="24"/>
        </w:rPr>
        <w:t>ст доходов пришелся на последние 4 децильные группы населения, то есть на группы населения с наибольшим среднедушевым доходом, в то время как увеличение доходов у первых двух групп составило 7,0 % г/г и 5,2 % г/г (прирост на 3,9 % г/г и 2,2 % г/г в реально</w:t>
      </w:r>
      <w:r>
        <w:rPr>
          <w:sz w:val="24"/>
          <w:szCs w:val="24"/>
        </w:rPr>
        <w:t>м выражении). В итоге совокупная негативная динамика показателя по итогам года была сформирована группами населения с доходами выше среднего уровня.</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Рис. 3.1.1.20 Изменение компонент доходов и обязательных платежей …</w:t>
      </w:r>
    </w:p>
    <w:p w:rsidR="00E85D42" w:rsidRDefault="008113B9">
      <w:pPr>
        <w:jc w:val="both"/>
        <w:rPr>
          <w:sz w:val="24"/>
          <w:szCs w:val="24"/>
        </w:rPr>
      </w:pPr>
      <w:r>
        <w:rPr>
          <w:sz w:val="24"/>
          <w:szCs w:val="24"/>
        </w:rPr>
        <w:t xml:space="preserve"> Рис. 3.1.1.21 … и соответ</w:t>
      </w:r>
      <w:r>
        <w:rPr>
          <w:sz w:val="24"/>
          <w:szCs w:val="24"/>
        </w:rPr>
        <w:t xml:space="preserve">ствующие им вклады в изменение реальных располагаемых доходов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3564066"/>
            <wp:effectExtent l="0" t="0" r="3173" b="0"/>
            <wp:docPr id="30" name="Рисунок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rcRect t="9879"/>
                    <a:stretch>
                      <a:fillRect/>
                    </a:stretch>
                  </pic:blipFill>
                  <pic:spPr>
                    <a:xfrm>
                      <a:off x="0" y="0"/>
                      <a:ext cx="5940427" cy="3564066"/>
                    </a:xfrm>
                    <a:prstGeom prst="rect">
                      <a:avLst/>
                    </a:prstGeom>
                    <a:noFill/>
                    <a:ln>
                      <a:noFill/>
                      <a:prstDash/>
                    </a:ln>
                  </pic:spPr>
                </pic:pic>
              </a:graphicData>
            </a:graphic>
          </wp:inline>
        </w:drawing>
      </w:r>
    </w:p>
    <w:p w:rsidR="00E85D42" w:rsidRDefault="00E85D42">
      <w:pPr>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Рис. 3.1.1.22 Динамика «прочих» доходов</w:t>
      </w:r>
    </w:p>
    <w:p w:rsidR="00E85D42" w:rsidRDefault="00E85D42">
      <w:pPr>
        <w:jc w:val="both"/>
        <w:rPr>
          <w:sz w:val="24"/>
          <w:szCs w:val="24"/>
        </w:rPr>
      </w:pPr>
    </w:p>
    <w:p w:rsidR="00E85D42" w:rsidRDefault="008113B9">
      <w:pPr>
        <w:jc w:val="both"/>
      </w:pPr>
      <w:r>
        <w:rPr>
          <w:sz w:val="24"/>
          <w:szCs w:val="24"/>
        </w:rPr>
        <w:t>Рис. 3.1.1.23 Динамика среднедушевого денежного дохода по децильным группам (</w:t>
      </w:r>
      <w:r>
        <w:rPr>
          <w:sz w:val="24"/>
          <w:szCs w:val="24"/>
          <w:lang w:val="en-US"/>
        </w:rPr>
        <w:t>I</w:t>
      </w:r>
      <w:r>
        <w:rPr>
          <w:sz w:val="24"/>
          <w:szCs w:val="24"/>
        </w:rPr>
        <w:t>-</w:t>
      </w:r>
      <w:r>
        <w:rPr>
          <w:sz w:val="24"/>
          <w:szCs w:val="24"/>
          <w:lang w:val="en-US"/>
        </w:rPr>
        <w:t>III</w:t>
      </w:r>
      <w:r>
        <w:rPr>
          <w:sz w:val="24"/>
          <w:szCs w:val="24"/>
        </w:rPr>
        <w:t xml:space="preserve">кв.2018)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1969361"/>
            <wp:effectExtent l="0" t="0" r="3173" b="0"/>
            <wp:docPr id="31" name="Рисунок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rcRect t="17539"/>
                    <a:stretch>
                      <a:fillRect/>
                    </a:stretch>
                  </pic:blipFill>
                  <pic:spPr>
                    <a:xfrm>
                      <a:off x="0" y="0"/>
                      <a:ext cx="5940427" cy="1969361"/>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pPr>
      <w:r>
        <w:rPr>
          <w:b/>
          <w:i/>
          <w:sz w:val="24"/>
          <w:szCs w:val="24"/>
        </w:rPr>
        <w:t>Платежный баланс</w:t>
      </w:r>
    </w:p>
    <w:p w:rsidR="00E85D42" w:rsidRDefault="008113B9">
      <w:pPr>
        <w:ind w:firstLine="709"/>
        <w:jc w:val="both"/>
        <w:rPr>
          <w:sz w:val="24"/>
          <w:szCs w:val="24"/>
        </w:rPr>
      </w:pPr>
      <w:r>
        <w:rPr>
          <w:sz w:val="24"/>
          <w:szCs w:val="24"/>
        </w:rPr>
        <w:t xml:space="preserve">В 2018 году профицит счета </w:t>
      </w:r>
      <w:r>
        <w:rPr>
          <w:sz w:val="24"/>
          <w:szCs w:val="24"/>
        </w:rPr>
        <w:t>текущих операций достиг самого высокого значения за всю историю наблюдений. По итогам года положительное сальдо текущего счета увеличилось до 114,9 млрд. долл. США (по оценке, 6,9 % ВВП) после 33,3 млрд. долл. США в 2017 году (2,1 % ВВП).</w:t>
      </w:r>
    </w:p>
    <w:p w:rsidR="00E85D42" w:rsidRDefault="008113B9">
      <w:pPr>
        <w:ind w:firstLine="709"/>
        <w:jc w:val="both"/>
        <w:rPr>
          <w:sz w:val="24"/>
          <w:szCs w:val="24"/>
        </w:rPr>
      </w:pPr>
      <w:r>
        <w:rPr>
          <w:sz w:val="24"/>
          <w:szCs w:val="24"/>
        </w:rPr>
        <w:t>Рекордный профици</w:t>
      </w:r>
      <w:r>
        <w:rPr>
          <w:sz w:val="24"/>
          <w:szCs w:val="24"/>
        </w:rPr>
        <w:t xml:space="preserve">т текущего счета был обеспечен в первую очередь увеличением нефтегазового экспорта (+32,5 %) на фоне благоприятной конъюнктуры мировых рынков энергоносителей. Средняя цена на нефть марки «Юралс» в 2018 году составила 70,0 долл. США за баррель по сравнению </w:t>
      </w:r>
      <w:r>
        <w:rPr>
          <w:sz w:val="24"/>
          <w:szCs w:val="24"/>
        </w:rPr>
        <w:t>с 53,0 долл. США за баррель в 2017 году. По данным ФТС России, существенный рост продемонстрировали также среднеконтрактные цены на нефтепродукты и российский газ.</w:t>
      </w:r>
    </w:p>
    <w:p w:rsidR="00E85D42" w:rsidRDefault="008113B9">
      <w:pPr>
        <w:ind w:firstLine="709"/>
        <w:jc w:val="both"/>
        <w:rPr>
          <w:sz w:val="24"/>
          <w:szCs w:val="24"/>
        </w:rPr>
      </w:pPr>
      <w:r>
        <w:rPr>
          <w:sz w:val="24"/>
          <w:szCs w:val="24"/>
        </w:rPr>
        <w:t>Вклад в увеличение нефтегазового экспорта в 2018 году также внес рост его физических объемов</w:t>
      </w:r>
      <w:r>
        <w:rPr>
          <w:sz w:val="24"/>
          <w:szCs w:val="24"/>
        </w:rPr>
        <w:t>. Экспорт естественного природного газа вырос на 3,7 %, экспорт СПГ – на 50,4 %. Положительные темпы роста наблюдались и по сырой нефти и нефтепродуктам (на 2,9 % и 1,1% соответственно), что стало результатом июньских договоренностей стран ОПЕК+ об увеличе</w:t>
      </w:r>
      <w:r>
        <w:rPr>
          <w:sz w:val="24"/>
          <w:szCs w:val="24"/>
        </w:rPr>
        <w:t>нии добычи.</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Рис. 3.1.1.24 Профицит текущего счета достиг рекордных уровней…</w:t>
      </w:r>
    </w:p>
    <w:p w:rsidR="00E85D42" w:rsidRDefault="008113B9">
      <w:pPr>
        <w:jc w:val="both"/>
        <w:rPr>
          <w:sz w:val="24"/>
          <w:szCs w:val="24"/>
        </w:rPr>
      </w:pPr>
      <w:r>
        <w:rPr>
          <w:sz w:val="24"/>
          <w:szCs w:val="24"/>
        </w:rPr>
        <w:t xml:space="preserve">Рис.3.1.1.25…благодаря позитивной динамике нефтегазового экспорта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326279"/>
            <wp:effectExtent l="0" t="0" r="3173" b="0"/>
            <wp:docPr id="32" name="Рисунок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rcRect t="14085"/>
                    <a:stretch>
                      <a:fillRect/>
                    </a:stretch>
                  </pic:blipFill>
                  <pic:spPr>
                    <a:xfrm>
                      <a:off x="0" y="0"/>
                      <a:ext cx="5940427" cy="2326279"/>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Ненефтегазовый экспорт по итогам прошлого года также продемонстрировал уверенный рост (на 13,6 % г/г по срав</w:t>
      </w:r>
      <w:r>
        <w:rPr>
          <w:sz w:val="24"/>
          <w:szCs w:val="24"/>
        </w:rPr>
        <w:t>нению с 2017 годом). Из товаров сырьевой группы значительный рост наблюдался по углю (+25,9 % в стоимостном, +10,0 % – в натуральном выражении). В рост несырьевого неэнергетического экспорта наибольший вклад внесла продукция металлургии – как черной, так и</w:t>
      </w:r>
      <w:r>
        <w:rPr>
          <w:sz w:val="24"/>
          <w:szCs w:val="24"/>
        </w:rPr>
        <w:t xml:space="preserve"> цветной (в частности, стоимостной объем экспорта алюминия в 2018 году вырос на 2,7 %). Уверенная положительная динамика в стоимостном выражении наблюдалась и по другим товарным группам – продовольствию, химическим товарам, продукции деревообработки и маши</w:t>
      </w:r>
      <w:r>
        <w:rPr>
          <w:sz w:val="24"/>
          <w:szCs w:val="24"/>
        </w:rPr>
        <w:t>ностроения.</w:t>
      </w:r>
    </w:p>
    <w:p w:rsidR="00E85D42" w:rsidRDefault="008113B9">
      <w:pPr>
        <w:ind w:firstLine="709"/>
        <w:jc w:val="both"/>
        <w:rPr>
          <w:sz w:val="24"/>
          <w:szCs w:val="24"/>
        </w:rPr>
      </w:pPr>
      <w:r>
        <w:rPr>
          <w:sz w:val="24"/>
          <w:szCs w:val="24"/>
        </w:rPr>
        <w:t>Вместе с тем во второй половине 2018 г. наметилась тенденция к снижению годовых темпов роста несырьевого неэнергетического экспорта. Она была обусловлена в первую очередь коррекцией цен на металлы на глобальных рынках, а также замедлением роста</w:t>
      </w:r>
      <w:r>
        <w:rPr>
          <w:sz w:val="24"/>
          <w:szCs w:val="24"/>
        </w:rPr>
        <w:t xml:space="preserve"> физических объемов продовольственного экспорта по мере исчерпания эффекта рекордного урожая 2017/2018 сельскохозяйственного года.</w:t>
      </w:r>
    </w:p>
    <w:p w:rsidR="00E85D42" w:rsidRDefault="008113B9">
      <w:pPr>
        <w:ind w:firstLine="709"/>
        <w:jc w:val="both"/>
        <w:rPr>
          <w:sz w:val="24"/>
          <w:szCs w:val="24"/>
        </w:rPr>
      </w:pPr>
      <w:r>
        <w:rPr>
          <w:sz w:val="24"/>
          <w:szCs w:val="24"/>
        </w:rPr>
        <w:t>Экспорт услуг в 2018 г. вырос на 13,2 %, что стало отражением проведенного в России чемпионата мира по футболу. Особенно акти</w:t>
      </w:r>
      <w:r>
        <w:rPr>
          <w:sz w:val="24"/>
          <w:szCs w:val="24"/>
        </w:rPr>
        <w:t>вный рост экспорта услуг в прошлом году наблюдался по статье «поездки».</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E85D42">
      <w:pPr>
        <w:jc w:val="both"/>
        <w:rPr>
          <w:sz w:val="24"/>
          <w:szCs w:val="24"/>
        </w:rPr>
      </w:pPr>
    </w:p>
    <w:p w:rsidR="00E85D42" w:rsidRDefault="008113B9">
      <w:pPr>
        <w:jc w:val="both"/>
        <w:rPr>
          <w:sz w:val="24"/>
          <w:szCs w:val="24"/>
        </w:rPr>
      </w:pPr>
      <w:r>
        <w:rPr>
          <w:sz w:val="24"/>
          <w:szCs w:val="24"/>
        </w:rPr>
        <w:t>Рис. 3.1.1.26 Нефтегазовый экспорт также демонстрировал уверенный рост…</w:t>
      </w:r>
    </w:p>
    <w:p w:rsidR="00E85D42" w:rsidRDefault="00E85D42">
      <w:pPr>
        <w:jc w:val="both"/>
        <w:rPr>
          <w:sz w:val="24"/>
          <w:szCs w:val="24"/>
        </w:rPr>
      </w:pPr>
    </w:p>
    <w:p w:rsidR="00E85D42" w:rsidRDefault="008113B9">
      <w:pPr>
        <w:jc w:val="both"/>
        <w:rPr>
          <w:sz w:val="24"/>
          <w:szCs w:val="24"/>
        </w:rPr>
      </w:pPr>
      <w:r>
        <w:rPr>
          <w:sz w:val="24"/>
          <w:szCs w:val="24"/>
        </w:rPr>
        <w:t>Рис. 3.1.1.27…в том числе под влиянием ценового фактора</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136797"/>
            <wp:effectExtent l="0" t="0" r="3173" b="0"/>
            <wp:docPr id="33" name="Рисунок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rcRect t="16105"/>
                    <a:stretch>
                      <a:fillRect/>
                    </a:stretch>
                  </pic:blipFill>
                  <pic:spPr>
                    <a:xfrm>
                      <a:off x="0" y="0"/>
                      <a:ext cx="5940427" cy="2136797"/>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Наряду с динамичным ростом экспорта, вклад в улуч</w:t>
      </w:r>
      <w:r>
        <w:rPr>
          <w:sz w:val="24"/>
          <w:szCs w:val="24"/>
        </w:rPr>
        <w:t xml:space="preserve">шение сальдо текущего счета в 2018 г. внесло существенное замедление роста импорта. По итогам года импорт товаров увеличился лишь на 4,6 % (после роста на 24,4 % в 2017 году). При этом в условиях ослабления рубля (на 7,7 % в реальном эффективном выражении </w:t>
      </w:r>
      <w:r>
        <w:rPr>
          <w:sz w:val="24"/>
          <w:szCs w:val="24"/>
        </w:rPr>
        <w:t>в целом за год) в течение года наблюдалось последовательное замедление динамики товарного импорта, так что во второй половине года годовые темпы его роста перешли в отрицательную область впервые со 2 квартала 2016 г. В то время как снижение темпов роста пр</w:t>
      </w:r>
      <w:r>
        <w:rPr>
          <w:sz w:val="24"/>
          <w:szCs w:val="24"/>
        </w:rPr>
        <w:t>одемонстрировали все компоненты импорта – и потребительский, и промежуточный, и инвестиционный, – ухудшение динамики последнего было наиболее выраженным. Импорт услуг на протяжении года сохранял положительную годовую динамику, однако по итогам года его рос</w:t>
      </w:r>
      <w:r>
        <w:rPr>
          <w:sz w:val="24"/>
          <w:szCs w:val="24"/>
        </w:rPr>
        <w:t>т также существенно замедлился (до 7,5 % по сравнению с 19,1 % годом ранее).</w:t>
      </w:r>
    </w:p>
    <w:p w:rsidR="00E85D42" w:rsidRDefault="00E85D42">
      <w:pPr>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 xml:space="preserve">Рис. 3.1.1.28 Значимый вклад в сокращение импорта во второй половине 2018 г. внес инвестиционный импорт </w:t>
      </w:r>
    </w:p>
    <w:p w:rsidR="00E85D42" w:rsidRDefault="008113B9">
      <w:pPr>
        <w:jc w:val="both"/>
        <w:rPr>
          <w:sz w:val="24"/>
          <w:szCs w:val="24"/>
        </w:rPr>
      </w:pPr>
      <w:r>
        <w:rPr>
          <w:sz w:val="24"/>
          <w:szCs w:val="24"/>
        </w:rPr>
        <w:t xml:space="preserve"> Рис. 3.1.1.29 прочие сектора и банки активно сокращали внешние </w:t>
      </w:r>
      <w:r>
        <w:rPr>
          <w:sz w:val="24"/>
          <w:szCs w:val="24"/>
        </w:rPr>
        <w:t xml:space="preserve">обязательства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101501"/>
            <wp:effectExtent l="0" t="0" r="3173" b="0"/>
            <wp:docPr id="34" name="Рисунок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rcRect t="20522"/>
                    <a:stretch>
                      <a:fillRect/>
                    </a:stretch>
                  </pic:blipFill>
                  <pic:spPr>
                    <a:xfrm>
                      <a:off x="0" y="0"/>
                      <a:ext cx="5940427" cy="2101501"/>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 xml:space="preserve">Отрицательное сальдо финансового счета в 2018 г. расширилось до 76,8 млрд. долл. США (по сравнению с 12,6 млрд. долл. США в 2017 году). Отток по частному сектору составил 72,1 млрд. долл. США (годом ранее – 32,4 млрд. долл. США). Он был </w:t>
      </w:r>
      <w:r>
        <w:rPr>
          <w:sz w:val="24"/>
          <w:szCs w:val="24"/>
        </w:rPr>
        <w:t>в основном обеспечен сокращением внешних обязательств банковского сектора, которое было зафиксировано пятый год подряд, и увеличением финансовых активов «прочих» секторов.</w:t>
      </w:r>
    </w:p>
    <w:p w:rsidR="00E85D42" w:rsidRDefault="008113B9">
      <w:pPr>
        <w:ind w:firstLine="709"/>
        <w:jc w:val="both"/>
        <w:rPr>
          <w:sz w:val="24"/>
          <w:szCs w:val="24"/>
        </w:rPr>
      </w:pPr>
      <w:r>
        <w:rPr>
          <w:sz w:val="24"/>
          <w:szCs w:val="24"/>
        </w:rPr>
        <w:t xml:space="preserve">По государственному сектору в 2018 г. наблюдался отток капитала в размере 6,9 млрд. </w:t>
      </w:r>
      <w:r>
        <w:rPr>
          <w:sz w:val="24"/>
          <w:szCs w:val="24"/>
        </w:rPr>
        <w:t>долл. США (после притока 13,3 млрд. долл. США в 2017 году), который был преимущественно связан с выходом нерезидентов с рынка российского госдолга начиная с апреля. За апрель–декабрь их вложения в ОФЗ снизились на 561 млрд. рублей, при этом наиболее активн</w:t>
      </w:r>
      <w:r>
        <w:rPr>
          <w:sz w:val="24"/>
          <w:szCs w:val="24"/>
        </w:rPr>
        <w:t>ая фаза оттока пришлась на 2кв18. Доля нерезидентов на рынке ОФЗ на 1 января 2019 г. составила 24,4 % по сравнению с 34,5 % на 1 апреля 2018 года.</w:t>
      </w:r>
    </w:p>
    <w:p w:rsidR="00E85D42" w:rsidRDefault="008113B9">
      <w:pPr>
        <w:ind w:firstLine="709"/>
        <w:jc w:val="both"/>
        <w:rPr>
          <w:sz w:val="24"/>
          <w:szCs w:val="24"/>
        </w:rPr>
      </w:pPr>
      <w:r>
        <w:rPr>
          <w:sz w:val="24"/>
          <w:szCs w:val="24"/>
        </w:rPr>
        <w:t>Снижение внешних обязательств как частного, так и государственного сектора привело к сокращению российского в</w:t>
      </w:r>
      <w:r>
        <w:rPr>
          <w:sz w:val="24"/>
          <w:szCs w:val="24"/>
        </w:rPr>
        <w:t>нешнего долга до 454 млрд. долл. США на 1 января 2019 г. по сравнению с 518 млрд. долл. США на начало прошлого года. При этом отношение внешнего долга к ВВП на конец 2018 г. (по оценке, 27,4 %) приблизилось к минимальным уровням с начала 2000-х годов.</w:t>
      </w:r>
    </w:p>
    <w:p w:rsidR="00E85D42" w:rsidRDefault="008113B9">
      <w:pPr>
        <w:ind w:firstLine="709"/>
        <w:jc w:val="both"/>
        <w:rPr>
          <w:sz w:val="24"/>
          <w:szCs w:val="24"/>
        </w:rPr>
      </w:pPr>
      <w:r>
        <w:rPr>
          <w:sz w:val="24"/>
          <w:szCs w:val="24"/>
        </w:rPr>
        <w:t>В ус</w:t>
      </w:r>
      <w:r>
        <w:rPr>
          <w:sz w:val="24"/>
          <w:szCs w:val="24"/>
        </w:rPr>
        <w:t>ловиях превышения профицита текущего счета над отрицательным сальдо финансового счета международные резервы в 2018 г. продолжили рост. Их объем за год увеличился на 38,2 млрд. долл. США (22,6 млрд. долл. США в 2017 года). Основным источником накопления рез</w:t>
      </w:r>
      <w:r>
        <w:rPr>
          <w:sz w:val="24"/>
          <w:szCs w:val="24"/>
        </w:rPr>
        <w:t>ервов стали операции Банка России по покупке иностранной валюты в рамках бюджетного правила, объем которых за период с начала года по 22 августа, когда было принято решение об их приостановке до конца 2018 года, составил 35,4 млрд. долл. США.</w:t>
      </w:r>
    </w:p>
    <w:p w:rsidR="00E85D42" w:rsidRDefault="008113B9">
      <w:pPr>
        <w:jc w:val="center"/>
        <w:rPr>
          <w:sz w:val="24"/>
          <w:szCs w:val="24"/>
        </w:rPr>
      </w:pPr>
      <w:r>
        <w:rPr>
          <w:sz w:val="24"/>
          <w:szCs w:val="24"/>
        </w:rPr>
        <w:t>Показатели пл</w:t>
      </w:r>
      <w:r>
        <w:rPr>
          <w:sz w:val="24"/>
          <w:szCs w:val="24"/>
        </w:rPr>
        <w:t>атежного баланса</w:t>
      </w:r>
    </w:p>
    <w:p w:rsidR="00E85D42" w:rsidRDefault="008113B9">
      <w:pPr>
        <w:jc w:val="right"/>
        <w:rPr>
          <w:sz w:val="24"/>
          <w:szCs w:val="24"/>
        </w:rPr>
      </w:pPr>
      <w:r>
        <w:rPr>
          <w:sz w:val="24"/>
          <w:szCs w:val="24"/>
        </w:rPr>
        <w:t>Таблица 3.1.1.8</w:t>
      </w:r>
    </w:p>
    <w:p w:rsidR="00E85D42" w:rsidRDefault="008113B9">
      <w:pPr>
        <w:jc w:val="both"/>
      </w:pPr>
      <w:r>
        <w:rPr>
          <w:noProof/>
          <w:sz w:val="24"/>
          <w:szCs w:val="24"/>
        </w:rPr>
        <w:drawing>
          <wp:inline distT="0" distB="0" distL="0" distR="0">
            <wp:extent cx="5940427" cy="3886529"/>
            <wp:effectExtent l="0" t="0" r="3173" b="0"/>
            <wp:docPr id="35" name="Рисунок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rcRect t="4664"/>
                    <a:stretch>
                      <a:fillRect/>
                    </a:stretch>
                  </pic:blipFill>
                  <pic:spPr>
                    <a:xfrm>
                      <a:off x="0" y="0"/>
                      <a:ext cx="5940427" cy="3886529"/>
                    </a:xfrm>
                    <a:prstGeom prst="rect">
                      <a:avLst/>
                    </a:prstGeom>
                    <a:noFill/>
                    <a:ln>
                      <a:noFill/>
                      <a:prstDash/>
                    </a:ln>
                  </pic:spPr>
                </pic:pic>
              </a:graphicData>
            </a:graphic>
          </wp:inline>
        </w:drawing>
      </w:r>
    </w:p>
    <w:p w:rsidR="00E85D42" w:rsidRDefault="008113B9">
      <w:pPr>
        <w:ind w:firstLine="709"/>
        <w:jc w:val="both"/>
        <w:rPr>
          <w:b/>
          <w:i/>
          <w:sz w:val="24"/>
          <w:szCs w:val="24"/>
        </w:rPr>
      </w:pPr>
      <w:r>
        <w:rPr>
          <w:b/>
          <w:i/>
          <w:sz w:val="24"/>
          <w:szCs w:val="24"/>
        </w:rPr>
        <w:t>Банковский сектор</w:t>
      </w:r>
    </w:p>
    <w:p w:rsidR="00E85D42" w:rsidRDefault="008113B9">
      <w:pPr>
        <w:ind w:firstLine="709"/>
        <w:jc w:val="both"/>
        <w:rPr>
          <w:sz w:val="24"/>
          <w:szCs w:val="24"/>
        </w:rPr>
      </w:pPr>
      <w:r>
        <w:rPr>
          <w:sz w:val="24"/>
          <w:szCs w:val="24"/>
        </w:rPr>
        <w:t>Понижательный тренд процентных ставок в 2018 г. развернулся на фоне ухудшения условий на финансовых рынках и ужесточения денежно-кредитной политики Банком России.</w:t>
      </w:r>
    </w:p>
    <w:p w:rsidR="00E85D42" w:rsidRDefault="008113B9">
      <w:pPr>
        <w:ind w:firstLine="709"/>
        <w:jc w:val="both"/>
        <w:rPr>
          <w:sz w:val="24"/>
          <w:szCs w:val="24"/>
        </w:rPr>
      </w:pPr>
      <w:r>
        <w:rPr>
          <w:sz w:val="24"/>
          <w:szCs w:val="24"/>
        </w:rPr>
        <w:t>В условиях ослабления рубля, роста росси</w:t>
      </w:r>
      <w:r>
        <w:rPr>
          <w:sz w:val="24"/>
          <w:szCs w:val="24"/>
        </w:rPr>
        <w:t>йской премии за риск и оттока нерезидентов с рынка ОФЗ Банк России в апреле приостановил цикл смягчения денежно-кредитной политики, а с сентября перешел к ее ужесточению. В сентябре и в декабре регулятор поднял ключевую ставку на 25 б.п. (до 7,75 % на коне</w:t>
      </w:r>
      <w:r>
        <w:rPr>
          <w:sz w:val="24"/>
          <w:szCs w:val="24"/>
        </w:rPr>
        <w:t>ц года). Оба решения совпали с ожиданиями рынка, при этом январский консенсус-прогноз Блумберг указывал, что участники рынка прогнозируют снижение ключевой ставки не раньше 4 квартала 2019 г.</w:t>
      </w:r>
    </w:p>
    <w:p w:rsidR="00E85D42" w:rsidRDefault="00E85D42">
      <w:pPr>
        <w:ind w:firstLine="709"/>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Рис. 3.1.1.30 Банковский сектор продолжает функционировать в у</w:t>
      </w:r>
      <w:r>
        <w:rPr>
          <w:sz w:val="24"/>
          <w:szCs w:val="24"/>
        </w:rPr>
        <w:t>словиях структурного профицита ликвидности</w:t>
      </w:r>
    </w:p>
    <w:p w:rsidR="00E85D42" w:rsidRDefault="008113B9">
      <w:pPr>
        <w:jc w:val="both"/>
        <w:rPr>
          <w:sz w:val="24"/>
          <w:szCs w:val="24"/>
        </w:rPr>
      </w:pPr>
      <w:r>
        <w:rPr>
          <w:sz w:val="24"/>
          <w:szCs w:val="24"/>
        </w:rPr>
        <w:t xml:space="preserve"> Рис. 3.1.1.31 Тренд на снижение долгосрочных процентных ставок с середины года развернулся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256382"/>
            <wp:effectExtent l="0" t="0" r="3173" b="0"/>
            <wp:docPr id="36" name="Рисунок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rcRect t="18276"/>
                    <a:stretch>
                      <a:fillRect/>
                    </a:stretch>
                  </pic:blipFill>
                  <pic:spPr>
                    <a:xfrm>
                      <a:off x="0" y="0"/>
                      <a:ext cx="5940427" cy="2256382"/>
                    </a:xfrm>
                    <a:prstGeom prst="rect">
                      <a:avLst/>
                    </a:prstGeom>
                    <a:noFill/>
                    <a:ln>
                      <a:noFill/>
                      <a:prstDash/>
                    </a:ln>
                  </pic:spPr>
                </pic:pic>
              </a:graphicData>
            </a:graphic>
          </wp:inline>
        </w:drawing>
      </w:r>
    </w:p>
    <w:p w:rsidR="00E85D42" w:rsidRDefault="008113B9">
      <w:pPr>
        <w:ind w:firstLine="709"/>
        <w:jc w:val="both"/>
      </w:pPr>
      <w:r>
        <w:rPr>
          <w:sz w:val="24"/>
          <w:szCs w:val="24"/>
        </w:rPr>
        <w:t>Банки отреагировали на ситуацию на финансовых рынках и решения Банка России повышением основных кредитных и депозитны</w:t>
      </w:r>
      <w:r>
        <w:rPr>
          <w:sz w:val="24"/>
          <w:szCs w:val="24"/>
        </w:rPr>
        <w:t>х ставок. В июле</w:t>
      </w:r>
      <w:r>
        <w:rPr>
          <w:rFonts w:ascii="Symbol" w:eastAsia="Symbol" w:hAnsi="Symbol" w:cs="Symbol"/>
          <w:sz w:val="24"/>
          <w:szCs w:val="24"/>
        </w:rPr>
        <w:t></w:t>
      </w:r>
      <w:r>
        <w:rPr>
          <w:sz w:val="24"/>
          <w:szCs w:val="24"/>
        </w:rPr>
        <w:t>декабре ставки по розничным депозитам на срок свыше 1 года прибавили 1,1 п.п., по кредитам нефинансовым организациям на аналогичный срок – 0,7 п.п. Ставки по ипотечным кредитам во второй половине года выросли (до 9,7 % в декабре) после дву</w:t>
      </w:r>
      <w:r>
        <w:rPr>
          <w:sz w:val="24"/>
          <w:szCs w:val="24"/>
        </w:rPr>
        <w:t>х лет практически непрерывного снижения. В то же время в других сегментах рынка потребительского кредитования повышения ставок не наблюдалось.</w:t>
      </w:r>
    </w:p>
    <w:p w:rsidR="00E85D42" w:rsidRDefault="008113B9">
      <w:pPr>
        <w:ind w:firstLine="709"/>
        <w:jc w:val="both"/>
        <w:rPr>
          <w:sz w:val="24"/>
          <w:szCs w:val="24"/>
        </w:rPr>
      </w:pPr>
      <w:r>
        <w:rPr>
          <w:sz w:val="24"/>
          <w:szCs w:val="24"/>
        </w:rPr>
        <w:t>Основным драйвером роста депозитной базы банков в 2018 г. оставались рублевые депозиты.</w:t>
      </w:r>
    </w:p>
    <w:p w:rsidR="00E85D42" w:rsidRDefault="008113B9">
      <w:pPr>
        <w:ind w:firstLine="709"/>
        <w:jc w:val="both"/>
        <w:rPr>
          <w:sz w:val="24"/>
          <w:szCs w:val="24"/>
        </w:rPr>
      </w:pPr>
      <w:r>
        <w:rPr>
          <w:sz w:val="24"/>
          <w:szCs w:val="24"/>
        </w:rPr>
        <w:t>Тенденции на рынках корпо</w:t>
      </w:r>
      <w:r>
        <w:rPr>
          <w:sz w:val="24"/>
          <w:szCs w:val="24"/>
        </w:rPr>
        <w:t>ративных и розничных депозитов в 2018 г. были разнонаправленными. Рост вкладов физических лиц в течение года последовательно замедлялся (до 5,3 % г/г в декабре 2018 г. с 8,7 % г/г в декабре 2017 года). Темп роста корпоративных депозитов, напротив, находилс</w:t>
      </w:r>
      <w:r>
        <w:rPr>
          <w:sz w:val="24"/>
          <w:szCs w:val="24"/>
        </w:rPr>
        <w:t>я на восходящей траектории и в декабре достиг 10,5 % г/г (по сравнению с 8,4 % г/г в декабре 2017 года). Начиная со второй половины 2018 г. годовой рост корпоративных депозитов устойчиво опережал динамику розничных вкладов, при этом разрыв между двумя пока</w:t>
      </w:r>
      <w:r>
        <w:rPr>
          <w:sz w:val="24"/>
          <w:szCs w:val="24"/>
        </w:rPr>
        <w:t>зателями продолжает увеличиваться.</w:t>
      </w:r>
    </w:p>
    <w:p w:rsidR="00E85D42" w:rsidRDefault="008113B9">
      <w:pPr>
        <w:ind w:firstLine="709"/>
        <w:jc w:val="both"/>
        <w:rPr>
          <w:sz w:val="24"/>
          <w:szCs w:val="24"/>
        </w:rPr>
      </w:pPr>
      <w:r>
        <w:rPr>
          <w:sz w:val="24"/>
          <w:szCs w:val="24"/>
        </w:rPr>
        <w:t>Рост депозитов как в корпоративном, так и в розничном сегменте обеспечивался главным образом рублевыми депозитами (на 2,3 и 1,7 млрд. рублей соответственно). В конце года в условиях роста неопределенности на мировых финан</w:t>
      </w:r>
      <w:r>
        <w:rPr>
          <w:sz w:val="24"/>
          <w:szCs w:val="24"/>
        </w:rPr>
        <w:t>совых рынках и ослабления рубля временно возросла волатильность валютной структуры вкладов физических лиц. Однако в целом по итогам года депозиты физических лиц в иностранной валюте сократились на 315 млрд. рублей, в то время как по юридическим лицам наблю</w:t>
      </w:r>
      <w:r>
        <w:rPr>
          <w:sz w:val="24"/>
          <w:szCs w:val="24"/>
        </w:rPr>
        <w:t>дался умеренный рост показателя (193 млрд. рублей).</w:t>
      </w:r>
    </w:p>
    <w:p w:rsidR="00E85D42" w:rsidRDefault="00E85D42">
      <w:pPr>
        <w:ind w:firstLine="709"/>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Рис. 3.1.1.32 Рост депозитной базы в течение 2018 г. опирался на рублевые депозиты</w:t>
      </w:r>
    </w:p>
    <w:p w:rsidR="00E85D42" w:rsidRDefault="008113B9">
      <w:pPr>
        <w:jc w:val="both"/>
        <w:rPr>
          <w:sz w:val="24"/>
          <w:szCs w:val="24"/>
        </w:rPr>
      </w:pPr>
      <w:r>
        <w:rPr>
          <w:sz w:val="24"/>
          <w:szCs w:val="24"/>
        </w:rPr>
        <w:t xml:space="preserve"> Рис. 3.1.1.33 Со второй половины 2018 г. годовой рост корпоративных депозитов устойчиво опережал динамику розничных </w:t>
      </w:r>
      <w:r>
        <w:rPr>
          <w:sz w:val="24"/>
          <w:szCs w:val="24"/>
        </w:rPr>
        <w:t>вкладов</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096527"/>
            <wp:effectExtent l="0" t="0" r="3173" b="0"/>
            <wp:docPr id="37" name="Рисунок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rcRect t="18819"/>
                    <a:stretch>
                      <a:fillRect/>
                    </a:stretch>
                  </pic:blipFill>
                  <pic:spPr>
                    <a:xfrm>
                      <a:off x="0" y="0"/>
                      <a:ext cx="5940427" cy="2096527"/>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Ускорение роста корпоративного кредитного портфеля в 2018 г. сопровождалось изменением его валютной структуры в пользу рублевых кредитов.</w:t>
      </w:r>
    </w:p>
    <w:p w:rsidR="00E85D42" w:rsidRDefault="008113B9">
      <w:pPr>
        <w:ind w:firstLine="709"/>
        <w:jc w:val="both"/>
        <w:rPr>
          <w:sz w:val="24"/>
          <w:szCs w:val="24"/>
        </w:rPr>
      </w:pPr>
      <w:r>
        <w:rPr>
          <w:sz w:val="24"/>
          <w:szCs w:val="24"/>
        </w:rPr>
        <w:t>Задолженность по кредитам нефинансовым организациям в целом за 2018 г. выросла на 4,7 % (в 2017 г. – на 1,</w:t>
      </w:r>
      <w:r>
        <w:rPr>
          <w:sz w:val="24"/>
          <w:szCs w:val="24"/>
        </w:rPr>
        <w:t>8 %). По сопоставимому кругу банков, как и годом ранее, наблюдался более динамичный рост кредитного портфеля, – 5,8 % после 3,7 % в 2017 году.</w:t>
      </w:r>
    </w:p>
    <w:p w:rsidR="00E85D42" w:rsidRDefault="008113B9">
      <w:pPr>
        <w:ind w:firstLine="709"/>
        <w:jc w:val="both"/>
        <w:rPr>
          <w:sz w:val="24"/>
          <w:szCs w:val="24"/>
        </w:rPr>
      </w:pPr>
      <w:r>
        <w:rPr>
          <w:sz w:val="24"/>
          <w:szCs w:val="24"/>
        </w:rPr>
        <w:t>В отраслевом разрезе наибольший вклад в динамику корпоративного кредитования вносят обрабатывающая промышленность</w:t>
      </w:r>
      <w:r>
        <w:rPr>
          <w:sz w:val="24"/>
          <w:szCs w:val="24"/>
        </w:rPr>
        <w:t>, торговля, а также транспортная отрасль. Замедление динамики кредитного портфеля в текущем году наблюдается в добыче полезных ископаемых и в сфере операций с недвижимым имуществом.</w:t>
      </w:r>
    </w:p>
    <w:p w:rsidR="00E85D42" w:rsidRDefault="00E85D42">
      <w:pPr>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Рис. 3.1.1.34 Расширение корпоративного кредитования наблюдается в широк</w:t>
      </w:r>
      <w:r>
        <w:rPr>
          <w:sz w:val="24"/>
          <w:szCs w:val="24"/>
        </w:rPr>
        <w:t>ом круге отраслей…</w:t>
      </w:r>
    </w:p>
    <w:p w:rsidR="00E85D42" w:rsidRDefault="008113B9">
      <w:pPr>
        <w:jc w:val="both"/>
        <w:rPr>
          <w:sz w:val="24"/>
          <w:szCs w:val="24"/>
        </w:rPr>
      </w:pPr>
      <w:r>
        <w:rPr>
          <w:sz w:val="24"/>
          <w:szCs w:val="24"/>
        </w:rPr>
        <w:t xml:space="preserve"> Рис. 3.1.1.35 … и сопровождается девалютизацией кредитной задолженности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530035"/>
            <wp:effectExtent l="0" t="0" r="3173" b="3615"/>
            <wp:docPr id="38" name="Рисунок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rcRect t="12509"/>
                    <a:stretch>
                      <a:fillRect/>
                    </a:stretch>
                  </pic:blipFill>
                  <pic:spPr>
                    <a:xfrm>
                      <a:off x="0" y="0"/>
                      <a:ext cx="5940427" cy="2530035"/>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Корпоративные кредиты, номинированные в рублях, росли опережающими темпами и по итогам года показали рост на 12,0 % (3,8 % в 2017 году). При этом валютная задо</w:t>
      </w:r>
      <w:r>
        <w:rPr>
          <w:sz w:val="24"/>
          <w:szCs w:val="24"/>
        </w:rPr>
        <w:t>лженность демонстрируют отрицательную годовую динамику с апреля 2016 года (с исключением валютной переоценки). В 2018 г. сокращение портфеля кредитов, номинированных в иностранной валюте, ускорилось до -11,7 % по сравнению с -2,4 % в 2017 году.</w:t>
      </w:r>
    </w:p>
    <w:p w:rsidR="00E85D42" w:rsidRDefault="008113B9">
      <w:pPr>
        <w:ind w:firstLine="709"/>
        <w:jc w:val="both"/>
        <w:rPr>
          <w:sz w:val="24"/>
          <w:szCs w:val="24"/>
        </w:rPr>
      </w:pPr>
      <w:r>
        <w:rPr>
          <w:sz w:val="24"/>
          <w:szCs w:val="24"/>
        </w:rPr>
        <w:t>Наиболее ак</w:t>
      </w:r>
      <w:r>
        <w:rPr>
          <w:sz w:val="24"/>
          <w:szCs w:val="24"/>
        </w:rPr>
        <w:t>тивный процесс девалютизации кредитного портфеля наблюдается в таких отраслях, как операции с недвижимым имуществом, транспорт и связь, торговля, где доля кредитов в иностранной валюте исторически находилась на повышенных уровнях. За последние два года сущ</w:t>
      </w:r>
      <w:r>
        <w:rPr>
          <w:sz w:val="24"/>
          <w:szCs w:val="24"/>
        </w:rPr>
        <w:t>ественно снизилась валютная задолженность строительных организаций, однако в конце 2018 г. ее объем вновь начал расти на фоне восстановления динамики кредитования отрасли.</w:t>
      </w:r>
    </w:p>
    <w:p w:rsidR="00E85D42" w:rsidRDefault="008113B9">
      <w:pPr>
        <w:ind w:firstLine="709"/>
        <w:jc w:val="both"/>
        <w:rPr>
          <w:sz w:val="24"/>
          <w:szCs w:val="24"/>
        </w:rPr>
      </w:pPr>
      <w:r>
        <w:rPr>
          <w:sz w:val="24"/>
          <w:szCs w:val="24"/>
        </w:rPr>
        <w:t>Кредиты населению в 2018 г. продолжали расти опережающими темпами. По итогам 2018 г.</w:t>
      </w:r>
      <w:r>
        <w:rPr>
          <w:sz w:val="24"/>
          <w:szCs w:val="24"/>
        </w:rPr>
        <w:t xml:space="preserve"> темпы роста розничного кредитного портфеля выросли до 22,4 % с 12,8 % годом ранее.</w:t>
      </w:r>
    </w:p>
    <w:p w:rsidR="00E85D42" w:rsidRDefault="008113B9">
      <w:pPr>
        <w:ind w:firstLine="709"/>
        <w:jc w:val="both"/>
        <w:rPr>
          <w:sz w:val="24"/>
          <w:szCs w:val="24"/>
        </w:rPr>
      </w:pPr>
      <w:r>
        <w:rPr>
          <w:sz w:val="24"/>
          <w:szCs w:val="24"/>
        </w:rPr>
        <w:t>Рост ипотечного кредитного портфеля в 2018 г. ускорился до 23,1 % с 15,1 % в 2017 году. Выдачи новых ипотечных кредитов на протяжении года продолжали расти высокими темпами</w:t>
      </w:r>
      <w:r>
        <w:rPr>
          <w:sz w:val="24"/>
          <w:szCs w:val="24"/>
        </w:rPr>
        <w:t xml:space="preserve"> (в целом по году – на 62 %), в том числе в результате рефинансирования заемщиками ранее выданных кредитов по более выгодным ставкам. Вместе с тем в конце года динамика показателя начала замедляться на фоне приостановки удешевления ипотечного кредитования.</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jc w:val="both"/>
        <w:rPr>
          <w:sz w:val="24"/>
          <w:szCs w:val="24"/>
        </w:rPr>
      </w:pPr>
      <w:r>
        <w:rPr>
          <w:sz w:val="24"/>
          <w:szCs w:val="24"/>
        </w:rPr>
        <w:t>Рис. 3.1.1.36 Кредиты населения в 2018г. продолжали расти опережающими темпами</w:t>
      </w:r>
    </w:p>
    <w:p w:rsidR="00E85D42" w:rsidRDefault="008113B9">
      <w:pPr>
        <w:jc w:val="both"/>
        <w:rPr>
          <w:sz w:val="24"/>
          <w:szCs w:val="24"/>
        </w:rPr>
      </w:pPr>
      <w:r>
        <w:rPr>
          <w:sz w:val="24"/>
          <w:szCs w:val="24"/>
        </w:rPr>
        <w:t xml:space="preserve"> Рис. 3.1.1.37 рост выдачи ипотеки замедляется на фоне приостановки снижения ставок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063316"/>
            <wp:effectExtent l="0" t="0" r="3173" b="0"/>
            <wp:docPr id="39" name="Рисунок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rcRect t="15580"/>
                    <a:stretch>
                      <a:fillRect/>
                    </a:stretch>
                  </pic:blipFill>
                  <pic:spPr>
                    <a:xfrm>
                      <a:off x="0" y="0"/>
                      <a:ext cx="5940427" cy="2063316"/>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 xml:space="preserve">Рост розничного кредитного портфеля (за исключением ипотеки) в 2018 г. </w:t>
      </w:r>
      <w:r>
        <w:rPr>
          <w:sz w:val="24"/>
          <w:szCs w:val="24"/>
        </w:rPr>
        <w:t>ускорился почти вдвое – до 21,6 % с 11,1 % в 2017 году. В абсолютном выражении рост показателя составил 1,5 трлн. рублей и внес основной вклад в прирост кредитов населению.</w:t>
      </w:r>
    </w:p>
    <w:p w:rsidR="00E85D42" w:rsidRDefault="008113B9">
      <w:pPr>
        <w:ind w:firstLine="709"/>
        <w:jc w:val="both"/>
        <w:rPr>
          <w:sz w:val="24"/>
          <w:szCs w:val="24"/>
        </w:rPr>
      </w:pPr>
      <w:r>
        <w:rPr>
          <w:sz w:val="24"/>
          <w:szCs w:val="24"/>
        </w:rPr>
        <w:t>В условиях широких возможностей для рефинансирования ранее выданных кредитов уровен</w:t>
      </w:r>
      <w:r>
        <w:rPr>
          <w:sz w:val="24"/>
          <w:szCs w:val="24"/>
        </w:rPr>
        <w:t>ь просроченной задолженности физических лиц продолжил снижаться (до 5,1 % на 1 января 2019 г. с уровней около 7 % в начале года) и достиг минимальных с апреля 2014 года уровней. Вместе с тем рост кредитного портфеля существенно превышал рост номинальных за</w:t>
      </w:r>
      <w:r>
        <w:rPr>
          <w:sz w:val="24"/>
          <w:szCs w:val="24"/>
        </w:rPr>
        <w:t>работных плат.</w:t>
      </w:r>
    </w:p>
    <w:p w:rsidR="00E85D42" w:rsidRDefault="008113B9">
      <w:pPr>
        <w:ind w:firstLine="709"/>
        <w:jc w:val="both"/>
      </w:pPr>
      <w:r>
        <w:rPr>
          <w:sz w:val="24"/>
          <w:szCs w:val="24"/>
        </w:rPr>
        <w:t>Наблюдаемая динамика потребительского кредитования создает риски ухудшения качества кредитного портфеля в будущем. Кроме того, растущие процентные платежи оказывают все более выраженное негативное влияние на динамику реальных располагаемых д</w:t>
      </w:r>
      <w:r>
        <w:rPr>
          <w:sz w:val="24"/>
          <w:szCs w:val="24"/>
        </w:rPr>
        <w:t xml:space="preserve">оходов населения. В целях ограничения рисков в сфере потребительского кредитования Банк России принял решение с 1 апреля 2019 г. повысить на 30 п.п. надбавки к коэффициентам риска по потребительским кредитам с полной стоимостью кредитования от 10 до 30 %. </w:t>
      </w:r>
      <w:r>
        <w:rPr>
          <w:sz w:val="24"/>
          <w:szCs w:val="24"/>
        </w:rPr>
        <w:t>С 1 сентября 2018 г. указанные надбавки уже были повышены на 20</w:t>
      </w:r>
      <w:r>
        <w:rPr>
          <w:rFonts w:ascii="Symbol" w:eastAsia="Symbol" w:hAnsi="Symbol" w:cs="Symbol"/>
          <w:sz w:val="24"/>
          <w:szCs w:val="24"/>
        </w:rPr>
        <w:t></w:t>
      </w:r>
      <w:r>
        <w:rPr>
          <w:sz w:val="24"/>
          <w:szCs w:val="24"/>
        </w:rPr>
        <w:t>60 процентных пунктов.</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E85D42">
      <w:pPr>
        <w:rPr>
          <w:sz w:val="24"/>
          <w:szCs w:val="24"/>
        </w:rPr>
      </w:pPr>
    </w:p>
    <w:p w:rsidR="00E85D42" w:rsidRDefault="008113B9">
      <w:pPr>
        <w:rPr>
          <w:sz w:val="24"/>
          <w:szCs w:val="24"/>
        </w:rPr>
      </w:pPr>
      <w:r>
        <w:rPr>
          <w:sz w:val="24"/>
          <w:szCs w:val="24"/>
        </w:rPr>
        <w:t>Рис. 3.1.1.38 Портфель потребительских кредитов, кроме ипотеки, в 2018г вырос на 1,5 трлн. руб.</w:t>
      </w:r>
    </w:p>
    <w:p w:rsidR="00E85D42" w:rsidRDefault="00E85D42">
      <w:pPr>
        <w:rPr>
          <w:sz w:val="24"/>
          <w:szCs w:val="24"/>
        </w:rPr>
      </w:pPr>
    </w:p>
    <w:p w:rsidR="00E85D42" w:rsidRDefault="008113B9">
      <w:pPr>
        <w:rPr>
          <w:sz w:val="24"/>
          <w:szCs w:val="24"/>
        </w:rPr>
      </w:pPr>
      <w:r>
        <w:rPr>
          <w:sz w:val="24"/>
          <w:szCs w:val="24"/>
        </w:rPr>
        <w:t>Рис. 3.1.1.39 Банк России повысил коэффициенты риска по потребительски</w:t>
      </w:r>
      <w:r>
        <w:rPr>
          <w:sz w:val="24"/>
          <w:szCs w:val="24"/>
        </w:rPr>
        <w:t xml:space="preserve">м кредитам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2238917"/>
            <wp:effectExtent l="0" t="0" r="3173" b="8983"/>
            <wp:docPr id="40" name="Рисунок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rcRect t="15162"/>
                    <a:stretch>
                      <a:fillRect/>
                    </a:stretch>
                  </pic:blipFill>
                  <pic:spPr>
                    <a:xfrm>
                      <a:off x="0" y="0"/>
                      <a:ext cx="5940427" cy="2238917"/>
                    </a:xfrm>
                    <a:prstGeom prst="rect">
                      <a:avLst/>
                    </a:prstGeom>
                    <a:noFill/>
                    <a:ln>
                      <a:noFill/>
                      <a:prstDash/>
                    </a:ln>
                  </pic:spPr>
                </pic:pic>
              </a:graphicData>
            </a:graphic>
          </wp:inline>
        </w:drawing>
      </w: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8113B9">
      <w:pPr>
        <w:ind w:firstLine="709"/>
        <w:jc w:val="center"/>
        <w:rPr>
          <w:sz w:val="24"/>
          <w:szCs w:val="24"/>
        </w:rPr>
      </w:pPr>
      <w:r>
        <w:rPr>
          <w:sz w:val="24"/>
          <w:szCs w:val="24"/>
        </w:rPr>
        <w:t>Показатели банковского сектора</w:t>
      </w:r>
    </w:p>
    <w:p w:rsidR="00E85D42" w:rsidRDefault="008113B9">
      <w:pPr>
        <w:ind w:firstLine="709"/>
        <w:jc w:val="right"/>
        <w:rPr>
          <w:sz w:val="24"/>
          <w:szCs w:val="24"/>
        </w:rPr>
      </w:pPr>
      <w:r>
        <w:rPr>
          <w:sz w:val="24"/>
          <w:szCs w:val="24"/>
        </w:rPr>
        <w:t>Таблица 3.1.1.9</w:t>
      </w:r>
    </w:p>
    <w:p w:rsidR="00E85D42" w:rsidRDefault="008113B9">
      <w:pPr>
        <w:jc w:val="both"/>
      </w:pPr>
      <w:r>
        <w:rPr>
          <w:noProof/>
          <w:sz w:val="24"/>
          <w:szCs w:val="24"/>
        </w:rPr>
        <w:drawing>
          <wp:inline distT="0" distB="0" distL="0" distR="0">
            <wp:extent cx="5940427" cy="2154353"/>
            <wp:effectExtent l="0" t="0" r="3173" b="0"/>
            <wp:docPr id="41" name="Рисунок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rcRect t="10317"/>
                    <a:stretch>
                      <a:fillRect/>
                    </a:stretch>
                  </pic:blipFill>
                  <pic:spPr>
                    <a:xfrm>
                      <a:off x="0" y="0"/>
                      <a:ext cx="5940427" cy="2154353"/>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b/>
          <w:i/>
          <w:sz w:val="24"/>
          <w:szCs w:val="24"/>
        </w:rPr>
      </w:pPr>
      <w:r>
        <w:rPr>
          <w:b/>
          <w:i/>
          <w:sz w:val="24"/>
          <w:szCs w:val="24"/>
        </w:rPr>
        <w:t>Глобальные рынки</w:t>
      </w:r>
    </w:p>
    <w:p w:rsidR="00E85D42" w:rsidRDefault="008113B9">
      <w:pPr>
        <w:ind w:firstLine="709"/>
        <w:jc w:val="both"/>
        <w:rPr>
          <w:sz w:val="24"/>
          <w:szCs w:val="24"/>
        </w:rPr>
      </w:pPr>
      <w:r>
        <w:rPr>
          <w:sz w:val="24"/>
          <w:szCs w:val="24"/>
        </w:rPr>
        <w:t>Ситуация на глобальных рынках в течение 2018 года развивалась неравномерно.</w:t>
      </w:r>
    </w:p>
    <w:p w:rsidR="00E85D42" w:rsidRDefault="008113B9">
      <w:pPr>
        <w:ind w:firstLine="709"/>
        <w:jc w:val="both"/>
        <w:rPr>
          <w:sz w:val="24"/>
          <w:szCs w:val="24"/>
        </w:rPr>
      </w:pPr>
      <w:r>
        <w:rPr>
          <w:sz w:val="24"/>
          <w:szCs w:val="24"/>
        </w:rPr>
        <w:t xml:space="preserve">Вплоть до сентября конъюнктура как финансовых, так и товарных рынков в целом складывалась </w:t>
      </w:r>
      <w:r>
        <w:rPr>
          <w:sz w:val="24"/>
          <w:szCs w:val="24"/>
        </w:rPr>
        <w:t>позитивно. Продолжался уверенный рост американского фондового рынка, особенно выраженный в технологическом секторе. Цены на нефть марки «Юралс» также демонстрировали повышательную тенденцию, главным образом под воздействием произошедшего и ожидаемого сниже</w:t>
      </w:r>
      <w:r>
        <w:rPr>
          <w:sz w:val="24"/>
          <w:szCs w:val="24"/>
        </w:rPr>
        <w:t>ния предложения со стороны ряда крупных нефтеэкспортеров. В начале октября цены на нефть марки «Юралс» достигли четырехлетнего максимума (почти 85 долл. США за баррель), несмотря на увеличение добычи нефти странами ОПЕК+ в соответствии с решениями, приняты</w:t>
      </w:r>
      <w:r>
        <w:rPr>
          <w:sz w:val="24"/>
          <w:szCs w:val="24"/>
        </w:rPr>
        <w:t>ми на июньском заседании в Вене.</w:t>
      </w:r>
    </w:p>
    <w:p w:rsidR="00E85D42" w:rsidRDefault="008113B9">
      <w:pPr>
        <w:ind w:firstLine="709"/>
        <w:jc w:val="both"/>
        <w:rPr>
          <w:sz w:val="24"/>
          <w:szCs w:val="24"/>
        </w:rPr>
      </w:pPr>
      <w:r>
        <w:rPr>
          <w:sz w:val="24"/>
          <w:szCs w:val="24"/>
        </w:rPr>
        <w:t>Вместе с тем в 4 квавтале 2018 г. на мировых финансовых рынках началась масштабная коррекция, спровоцированная продолжающимся ужесточением денежно-кредитной политики ФРС США, усилением торговых противоречий между крупнейшим</w:t>
      </w:r>
      <w:r>
        <w:rPr>
          <w:sz w:val="24"/>
          <w:szCs w:val="24"/>
        </w:rPr>
        <w:t>и мировыми экономиками, а также ухудшением ожиданий участников рынка относительно перспектив роста мировой экономики. Снижение индекса S&amp;P 500 в 4кв18 составило почти 15 %, в целом за год – около 7 %. Фондовые рынки других крупнейших развитых стран также з</w:t>
      </w:r>
      <w:r>
        <w:rPr>
          <w:sz w:val="24"/>
          <w:szCs w:val="24"/>
        </w:rPr>
        <w:t>авершили 2018 г. в минусе. Индекс акций стран с формирующимися рынками MSCI EM снизился на 17 % после роста на 34 % в 2017 году.</w:t>
      </w:r>
    </w:p>
    <w:p w:rsidR="00E85D42" w:rsidRDefault="008113B9">
      <w:pPr>
        <w:ind w:firstLine="709"/>
        <w:jc w:val="both"/>
        <w:rPr>
          <w:sz w:val="24"/>
          <w:szCs w:val="24"/>
        </w:rPr>
      </w:pPr>
      <w:r>
        <w:rPr>
          <w:sz w:val="24"/>
          <w:szCs w:val="24"/>
        </w:rPr>
        <w:t>Турбулентность на мировых финансовых рынках затронула и рынок нефти: на фоне снижения аппетита к риску глобальных инвесторов це</w:t>
      </w:r>
      <w:r>
        <w:rPr>
          <w:sz w:val="24"/>
          <w:szCs w:val="24"/>
        </w:rPr>
        <w:t xml:space="preserve">на на нефть марки «Юралс» к 28 декабря опустилась до 50,7 долл. США за баррель. Что касается фундаментальных факторов, со стороны спроса давление на нефтяные котировки оказывали ожидания замедления роста мировой экономики в 2019 г., со стороны предложения </w:t>
      </w:r>
      <w:r>
        <w:rPr>
          <w:sz w:val="24"/>
          <w:szCs w:val="24"/>
        </w:rPr>
        <w:t>– продолжающийся рост нефтедобычи в США, а также временные послабления санкционного режима, введенные США для ряда стран – крупнейших импортеров иранской нефти в начале ноября.</w:t>
      </w:r>
    </w:p>
    <w:p w:rsidR="00E85D42" w:rsidRDefault="00E85D42">
      <w:pPr>
        <w:jc w:val="both"/>
        <w:rPr>
          <w:sz w:val="24"/>
          <w:szCs w:val="24"/>
        </w:rPr>
      </w:pPr>
    </w:p>
    <w:p w:rsidR="00E85D42" w:rsidRDefault="00E85D42">
      <w:pPr>
        <w:rPr>
          <w:sz w:val="24"/>
          <w:szCs w:val="24"/>
        </w:rPr>
      </w:pPr>
    </w:p>
    <w:p w:rsidR="00E85D42" w:rsidRDefault="00E85D42">
      <w:pPr>
        <w:rPr>
          <w:sz w:val="24"/>
          <w:szCs w:val="24"/>
        </w:rPr>
      </w:pPr>
    </w:p>
    <w:p w:rsidR="00E85D42" w:rsidRDefault="00E85D42">
      <w:pPr>
        <w:rPr>
          <w:sz w:val="24"/>
          <w:szCs w:val="24"/>
        </w:rPr>
      </w:pPr>
    </w:p>
    <w:p w:rsidR="00E85D42" w:rsidRDefault="00E85D42">
      <w:pPr>
        <w:rPr>
          <w:sz w:val="24"/>
          <w:szCs w:val="24"/>
        </w:rPr>
      </w:pPr>
    </w:p>
    <w:p w:rsidR="00E85D42" w:rsidRDefault="00E85D42">
      <w:pPr>
        <w:rPr>
          <w:sz w:val="24"/>
          <w:szCs w:val="24"/>
        </w:rPr>
      </w:pPr>
    </w:p>
    <w:p w:rsidR="00E85D42" w:rsidRDefault="00E85D42">
      <w:pPr>
        <w:rPr>
          <w:sz w:val="24"/>
          <w:szCs w:val="24"/>
        </w:rPr>
      </w:pPr>
    </w:p>
    <w:p w:rsidR="00E85D42" w:rsidRDefault="00E85D42">
      <w:pPr>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rPr>
          <w:sz w:val="24"/>
          <w:szCs w:val="24"/>
        </w:rPr>
      </w:pPr>
      <w:r>
        <w:rPr>
          <w:sz w:val="24"/>
          <w:szCs w:val="24"/>
        </w:rPr>
        <w:t>Рис. 3.1.1.40 В 4кв18 на финансовых рынках наблюдалась коррекция…</w:t>
      </w:r>
    </w:p>
    <w:p w:rsidR="00E85D42" w:rsidRDefault="008113B9">
      <w:pPr>
        <w:rPr>
          <w:sz w:val="24"/>
          <w:szCs w:val="24"/>
        </w:rPr>
      </w:pPr>
      <w:r>
        <w:rPr>
          <w:sz w:val="24"/>
          <w:szCs w:val="24"/>
        </w:rPr>
        <w:t>Рис.</w:t>
      </w:r>
      <w:r>
        <w:rPr>
          <w:sz w:val="24"/>
          <w:szCs w:val="24"/>
        </w:rPr>
        <w:t xml:space="preserve"> 3.1.1.41…которая затронула и рынки сырьевых товаров</w:t>
      </w:r>
    </w:p>
    <w:p w:rsidR="00E85D42" w:rsidRDefault="00E85D42">
      <w:pPr>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8113B9">
      <w:pPr>
        <w:jc w:val="both"/>
      </w:pPr>
      <w:r>
        <w:rPr>
          <w:noProof/>
          <w:sz w:val="24"/>
          <w:szCs w:val="24"/>
        </w:rPr>
        <w:drawing>
          <wp:inline distT="0" distB="0" distL="0" distR="0">
            <wp:extent cx="5940427" cy="1875361"/>
            <wp:effectExtent l="0" t="0" r="3173" b="0"/>
            <wp:docPr id="42" name="Рисунок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rcRect t="17227"/>
                    <a:stretch>
                      <a:fillRect/>
                    </a:stretch>
                  </pic:blipFill>
                  <pic:spPr>
                    <a:xfrm>
                      <a:off x="0" y="0"/>
                      <a:ext cx="5940427" cy="1875361"/>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В условиях снижения склонности к риску в 2018 г. наблюдалось ослабление большинства валют стран с формирующимися рынками, которое также усиливалось опасениями инвесторов относительно финансовой стаб</w:t>
      </w:r>
      <w:r>
        <w:rPr>
          <w:sz w:val="24"/>
          <w:szCs w:val="24"/>
        </w:rPr>
        <w:t>ильности в отдельных странах (Турция, Аргентина). Индекс валют стран с формирующимися рынками JP Morgan по итогам 2018 г. снизился более чем на 10 %.</w:t>
      </w:r>
    </w:p>
    <w:p w:rsidR="00E85D42" w:rsidRDefault="008113B9">
      <w:pPr>
        <w:ind w:firstLine="709"/>
        <w:jc w:val="both"/>
        <w:rPr>
          <w:sz w:val="24"/>
          <w:szCs w:val="24"/>
        </w:rPr>
      </w:pPr>
      <w:r>
        <w:rPr>
          <w:sz w:val="24"/>
          <w:szCs w:val="24"/>
        </w:rPr>
        <w:t>На курс рубля, наряду с общемировыми тенденциями, оказывала негативное воздействие санкционная политика СШ</w:t>
      </w:r>
      <w:r>
        <w:rPr>
          <w:sz w:val="24"/>
          <w:szCs w:val="24"/>
        </w:rPr>
        <w:t>А. Введение в апреле новых ограничений в отношении российских компаний и бизнесменов, а также обсуждение американскими властями возможных дополнительных санкций против России начиная с августа сопровождалось ростом российской премии за риск и оттоком иност</w:t>
      </w:r>
      <w:r>
        <w:rPr>
          <w:sz w:val="24"/>
          <w:szCs w:val="24"/>
        </w:rPr>
        <w:t>ранного капитала с рынка облигаций федерального займа (ОФЗ).</w:t>
      </w:r>
    </w:p>
    <w:p w:rsidR="00E85D42" w:rsidRDefault="008113B9">
      <w:pPr>
        <w:ind w:firstLine="709"/>
        <w:jc w:val="both"/>
        <w:rPr>
          <w:sz w:val="24"/>
          <w:szCs w:val="24"/>
        </w:rPr>
      </w:pPr>
      <w:r>
        <w:rPr>
          <w:sz w:val="24"/>
          <w:szCs w:val="24"/>
        </w:rPr>
        <w:t xml:space="preserve">Под влиянием перечисленных факторов рубль за 2018 г. потерял к корзине валют стран – торговых партнеров 8,2 %, к доллару США – 13 %. Нижняя точка ослабления национальной валюты была достигнута в </w:t>
      </w:r>
      <w:r>
        <w:rPr>
          <w:sz w:val="24"/>
          <w:szCs w:val="24"/>
        </w:rPr>
        <w:t>конце августа–сентябре (в моменте курс рубля превышал отметку 70 рублей за долл. США).</w:t>
      </w:r>
    </w:p>
    <w:p w:rsidR="00E85D42" w:rsidRDefault="008113B9">
      <w:pPr>
        <w:ind w:firstLine="709"/>
        <w:jc w:val="both"/>
        <w:rPr>
          <w:sz w:val="24"/>
          <w:szCs w:val="24"/>
        </w:rPr>
      </w:pPr>
      <w:r>
        <w:rPr>
          <w:sz w:val="24"/>
          <w:szCs w:val="24"/>
        </w:rPr>
        <w:t>В этих условиях в целях обеспечения финансовой стабильности на валютном рынке Банк России приостановил операции по покупке иностранной валюты в рамках бюджетного правила</w:t>
      </w:r>
      <w:r>
        <w:rPr>
          <w:sz w:val="24"/>
          <w:szCs w:val="24"/>
        </w:rPr>
        <w:t xml:space="preserve"> с 9 по 16 августа и с 23 августа до конца 2018 года. При этом решение Банка России не повлекло за собой нарушения реализации бюджетной политики в соответствии с бюджетным правилом, которое определяет использование нефтегазовых доходов в бюджетной системе.</w:t>
      </w:r>
      <w:r>
        <w:rPr>
          <w:sz w:val="24"/>
          <w:szCs w:val="24"/>
        </w:rPr>
        <w:t xml:space="preserve"> Параметры бюджетного правила (в частности, объемы накопления дополнительных нефтегазовых доходов в Фонде национального благосостояния) рассчитываются в соответствии с нормативно закреплённым алгоритмом, основанном на динамике цен на энергоносители и не до</w:t>
      </w:r>
      <w:r>
        <w:rPr>
          <w:sz w:val="24"/>
          <w:szCs w:val="24"/>
        </w:rPr>
        <w:t>пускающем дискретности при определении объемов операций.</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jc w:val="both"/>
        <w:rPr>
          <w:sz w:val="24"/>
          <w:szCs w:val="24"/>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rPr>
          <w:sz w:val="24"/>
          <w:szCs w:val="24"/>
        </w:rPr>
      </w:pPr>
      <w:r>
        <w:rPr>
          <w:sz w:val="24"/>
          <w:szCs w:val="24"/>
        </w:rPr>
        <w:t xml:space="preserve">Рис. 3.1.1.42 валюты развивающихся стран в 2018 году продемонстрировали ослабление </w:t>
      </w:r>
    </w:p>
    <w:p w:rsidR="00E85D42" w:rsidRDefault="008113B9">
      <w:pPr>
        <w:rPr>
          <w:sz w:val="24"/>
          <w:szCs w:val="24"/>
        </w:rPr>
      </w:pPr>
      <w:r>
        <w:rPr>
          <w:sz w:val="24"/>
          <w:szCs w:val="24"/>
        </w:rPr>
        <w:t>Рис. 3.1.1.43 С апреля доля нерезидентов на рынке ОФЗ снижалась</w:t>
      </w:r>
    </w:p>
    <w:p w:rsidR="00E85D42" w:rsidRDefault="008113B9">
      <w:pPr>
        <w:jc w:val="both"/>
        <w:rPr>
          <w:sz w:val="24"/>
          <w:szCs w:val="24"/>
        </w:rPr>
      </w:pPr>
      <w:r>
        <w:rPr>
          <w:sz w:val="24"/>
          <w:szCs w:val="24"/>
        </w:rPr>
        <w:t xml:space="preserve"> </w:t>
      </w: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num="2" w:space="708"/>
          <w:titlePg/>
        </w:sectPr>
      </w:pP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1940119"/>
            <wp:effectExtent l="0" t="0" r="3173" b="2981"/>
            <wp:docPr id="43"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rcRect t="16063"/>
                    <a:stretch>
                      <a:fillRect/>
                    </a:stretch>
                  </pic:blipFill>
                  <pic:spPr>
                    <a:xfrm>
                      <a:off x="0" y="0"/>
                      <a:ext cx="5940427" cy="1940119"/>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 xml:space="preserve">Вместе с тем фундаментальные </w:t>
      </w:r>
      <w:r>
        <w:rPr>
          <w:sz w:val="24"/>
          <w:szCs w:val="24"/>
        </w:rPr>
        <w:t>факторы, определяющие курс рубля к иностранным валютам (состояние платежного баланса, показатели государственных финансов, экономическая динамика), оставались благоприятными. Кроме того, действующая конструкция макроэкономической политики ограничивает чувс</w:t>
      </w:r>
      <w:r>
        <w:rPr>
          <w:sz w:val="24"/>
          <w:szCs w:val="24"/>
        </w:rPr>
        <w:t>твительность основных макроэкономических показателей к изменениям внешней конъюнктуры. Одним из свидетельств возросшей устойчивости российской экономики к внешним шокам является динамика курса рубля в 4 квартале 2018 г. Цена на нефть марки «Юралс» в октябр</w:t>
      </w:r>
      <w:r>
        <w:rPr>
          <w:sz w:val="24"/>
          <w:szCs w:val="24"/>
        </w:rPr>
        <w:t>е–декабре снизилась приблизительно на 40 %, при этом ослабление рубля за тот же период составило около 5 %. Для сравнения, в 4 квартале 2014 г. при сопоставимом по масштабу снижении цен на нефть рубль ослаб более чем на треть в номинальном выражении относи</w:t>
      </w:r>
      <w:r>
        <w:rPr>
          <w:sz w:val="24"/>
          <w:szCs w:val="24"/>
        </w:rPr>
        <w:t>тельно доллара США.</w:t>
      </w:r>
    </w:p>
    <w:p w:rsidR="00E85D42" w:rsidRDefault="008113B9">
      <w:pPr>
        <w:keepNext/>
        <w:keepLines/>
        <w:spacing w:before="200" w:after="240"/>
        <w:ind w:left="993"/>
        <w:jc w:val="both"/>
        <w:outlineLvl w:val="3"/>
      </w:pPr>
      <w:bookmarkStart w:id="115" w:name="_Toc11934887"/>
      <w:r>
        <w:rPr>
          <w:b/>
          <w:bCs/>
          <w:iCs/>
          <w:sz w:val="24"/>
          <w:szCs w:val="24"/>
        </w:rPr>
        <w:t>3.1.2. Краткое описание Республики Башкортостан</w:t>
      </w:r>
      <w:r>
        <w:rPr>
          <w:rFonts w:ascii="Cambria" w:hAnsi="Cambria"/>
          <w:b/>
          <w:bCs/>
          <w:i/>
          <w:iCs/>
          <w:sz w:val="24"/>
          <w:szCs w:val="24"/>
          <w:vertAlign w:val="superscript"/>
        </w:rPr>
        <w:footnoteReference w:id="4"/>
      </w:r>
      <w:bookmarkEnd w:id="115"/>
    </w:p>
    <w:p w:rsidR="00E85D42" w:rsidRDefault="008113B9">
      <w:pPr>
        <w:ind w:firstLine="709"/>
        <w:jc w:val="both"/>
        <w:rPr>
          <w:sz w:val="24"/>
          <w:szCs w:val="24"/>
        </w:rPr>
      </w:pPr>
      <w:r>
        <w:rPr>
          <w:sz w:val="24"/>
          <w:szCs w:val="24"/>
        </w:rPr>
        <w:t>Республика Башкортостан - субъект Россий</w:t>
      </w:r>
      <w:r>
        <w:rPr>
          <w:sz w:val="24"/>
          <w:szCs w:val="24"/>
        </w:rPr>
        <w:t>ской Федерации, названный по имени коренного народа – башкир. Республика расположена в южной части Уральских гор, на границе Европы и Азии. Башкортостан входит в Приволжский федеральный округ. Код региона – 02.</w:t>
      </w:r>
    </w:p>
    <w:p w:rsidR="00E85D42" w:rsidRDefault="008113B9">
      <w:pPr>
        <w:jc w:val="both"/>
      </w:pPr>
      <w:r>
        <w:rPr>
          <w:noProof/>
          <w:sz w:val="24"/>
          <w:szCs w:val="24"/>
        </w:rPr>
        <w:drawing>
          <wp:inline distT="0" distB="0" distL="0" distR="0">
            <wp:extent cx="5781678" cy="3329211"/>
            <wp:effectExtent l="0" t="0" r="9522" b="4539"/>
            <wp:docPr id="44" name="Рисунок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rcRect t="4762"/>
                    <a:stretch>
                      <a:fillRect/>
                    </a:stretch>
                  </pic:blipFill>
                  <pic:spPr>
                    <a:xfrm>
                      <a:off x="0" y="0"/>
                      <a:ext cx="5781678" cy="3329211"/>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pPr>
      <w:r>
        <w:rPr>
          <w:sz w:val="24"/>
          <w:szCs w:val="24"/>
        </w:rPr>
        <w:t xml:space="preserve">23 марта </w:t>
      </w:r>
      <w:r>
        <w:rPr>
          <w:bCs/>
          <w:sz w:val="24"/>
          <w:szCs w:val="24"/>
        </w:rPr>
        <w:t xml:space="preserve">1919 года </w:t>
      </w:r>
      <w:r>
        <w:rPr>
          <w:sz w:val="24"/>
          <w:szCs w:val="24"/>
        </w:rPr>
        <w:t>была создана Башкирская</w:t>
      </w:r>
      <w:r>
        <w:rPr>
          <w:sz w:val="24"/>
          <w:szCs w:val="24"/>
        </w:rPr>
        <w:t xml:space="preserve"> Автономная Советская Республика — первая национальная автономия в России.</w:t>
      </w:r>
    </w:p>
    <w:p w:rsidR="00E85D42" w:rsidRDefault="008113B9">
      <w:pPr>
        <w:ind w:firstLine="709"/>
        <w:jc w:val="both"/>
      </w:pPr>
      <w:r>
        <w:rPr>
          <w:sz w:val="24"/>
          <w:szCs w:val="24"/>
        </w:rPr>
        <w:t xml:space="preserve">11 октября </w:t>
      </w:r>
      <w:r>
        <w:rPr>
          <w:bCs/>
          <w:sz w:val="24"/>
          <w:szCs w:val="24"/>
        </w:rPr>
        <w:t xml:space="preserve">1990 года </w:t>
      </w:r>
      <w:r>
        <w:rPr>
          <w:sz w:val="24"/>
          <w:szCs w:val="24"/>
        </w:rPr>
        <w:t>образована республика, а с февраля 1992 года было принято название Республика Башкортостан.</w:t>
      </w:r>
    </w:p>
    <w:p w:rsidR="00E85D42" w:rsidRDefault="008113B9">
      <w:pPr>
        <w:ind w:firstLine="709"/>
        <w:jc w:val="both"/>
        <w:rPr>
          <w:sz w:val="24"/>
          <w:szCs w:val="24"/>
        </w:rPr>
      </w:pPr>
      <w:r>
        <w:rPr>
          <w:sz w:val="24"/>
          <w:szCs w:val="24"/>
        </w:rPr>
        <w:t xml:space="preserve">Площадь Башкортостана составляет 143 тыс. кв. км, или 0,8 процента </w:t>
      </w:r>
      <w:r>
        <w:rPr>
          <w:sz w:val="24"/>
          <w:szCs w:val="24"/>
        </w:rPr>
        <w:t>от общей площади страны. Республика занимает седьмое место в России по численности населения – 4 млн 051,6 тысячи человек, плотность населения – 28,3 человека на один квадратный километр территории против 8,3 человек в среднем по России.</w:t>
      </w:r>
    </w:p>
    <w:p w:rsidR="00E85D42" w:rsidRDefault="008113B9">
      <w:pPr>
        <w:ind w:firstLine="709"/>
        <w:jc w:val="both"/>
      </w:pPr>
      <w:r>
        <w:rPr>
          <w:sz w:val="24"/>
          <w:szCs w:val="24"/>
        </w:rPr>
        <w:t>Столица Башкортост</w:t>
      </w:r>
      <w:r>
        <w:rPr>
          <w:sz w:val="24"/>
          <w:szCs w:val="24"/>
        </w:rPr>
        <w:t xml:space="preserve">ана - </w:t>
      </w:r>
      <w:r>
        <w:rPr>
          <w:bCs/>
          <w:sz w:val="24"/>
          <w:szCs w:val="24"/>
        </w:rPr>
        <w:t xml:space="preserve">город Уфа </w:t>
      </w:r>
      <w:r>
        <w:rPr>
          <w:sz w:val="24"/>
          <w:szCs w:val="24"/>
        </w:rPr>
        <w:t>с населением 1 млн 100 тысяч человек. В Башкортостане 54 муниципальных района, 9 городских округов, 14 городских поселений, 818 сельских поселений. Наиболее крупные города – Уфа, Стерлитамак, Салават, Нефтекамск, Октябрьский.</w:t>
      </w:r>
    </w:p>
    <w:p w:rsidR="00E85D42" w:rsidRDefault="008113B9">
      <w:pPr>
        <w:ind w:firstLine="709"/>
        <w:jc w:val="both"/>
        <w:rPr>
          <w:sz w:val="24"/>
          <w:szCs w:val="24"/>
        </w:rPr>
      </w:pPr>
      <w:r>
        <w:rPr>
          <w:sz w:val="24"/>
          <w:szCs w:val="24"/>
        </w:rPr>
        <w:t>Время в Башкор</w:t>
      </w:r>
      <w:r>
        <w:rPr>
          <w:sz w:val="24"/>
          <w:szCs w:val="24"/>
        </w:rPr>
        <w:t>тостане опережает московское на два часа, общемировое по Гринвичу – на пять. Государственными языками, согласно Конституции Республики Башкортостан, являются башкирский и русский языки. Башкортостан – многонациональный край, где проживают представители бол</w:t>
      </w:r>
      <w:r>
        <w:rPr>
          <w:sz w:val="24"/>
          <w:szCs w:val="24"/>
        </w:rPr>
        <w:t>ее ста народностей. По этническому составу 36,3 процента населения республики составляют русские, 29,8 процента – башкиры, 24,1 процента – татары. Коренное население республики — башкиры. В республике также проживают чуваши, марийцы, украинцы, мордва, немц</w:t>
      </w:r>
      <w:r>
        <w:rPr>
          <w:sz w:val="24"/>
          <w:szCs w:val="24"/>
        </w:rPr>
        <w:t>ы и представители других национальностей.</w:t>
      </w:r>
    </w:p>
    <w:p w:rsidR="00E85D42" w:rsidRDefault="008113B9">
      <w:pPr>
        <w:ind w:firstLine="709"/>
        <w:jc w:val="both"/>
        <w:rPr>
          <w:sz w:val="24"/>
          <w:szCs w:val="24"/>
        </w:rPr>
      </w:pPr>
      <w:r>
        <w:rPr>
          <w:sz w:val="24"/>
          <w:szCs w:val="24"/>
        </w:rPr>
        <w:t>Башкортостан является одним из ведущих индустриальных и сельскохозяйственных регионов Российской Федерации. Республика – один из основных нефтедобывающих регионов страны, центр химической промышленности и машиностр</w:t>
      </w:r>
      <w:r>
        <w:rPr>
          <w:sz w:val="24"/>
          <w:szCs w:val="24"/>
        </w:rPr>
        <w:t>оения. Ведущими отраслями специализации являются топливная промышленность, химия и нефтехимия, электроэнергетика, металлургия, машиностроение, сельскохозяйственная, легкая и пищевая промышленности. В республике созданы научно-производственные кластеры в эн</w:t>
      </w:r>
      <w:r>
        <w:rPr>
          <w:sz w:val="24"/>
          <w:szCs w:val="24"/>
        </w:rPr>
        <w:t>ергетике, химии, машиностроении и ряде других отраслей, включающие в себя центры подготовки кадров, исследовательские институты, опытные производства и промышленные комплексы.</w:t>
      </w:r>
    </w:p>
    <w:p w:rsidR="00E85D42" w:rsidRDefault="008113B9">
      <w:pPr>
        <w:ind w:firstLine="709"/>
        <w:jc w:val="both"/>
        <w:rPr>
          <w:sz w:val="24"/>
          <w:szCs w:val="24"/>
        </w:rPr>
      </w:pPr>
      <w:r>
        <w:rPr>
          <w:sz w:val="24"/>
          <w:szCs w:val="24"/>
        </w:rPr>
        <w:t>За последние годы в агропромышленном комплексе республики появились новые птицев</w:t>
      </w:r>
      <w:r>
        <w:rPr>
          <w:sz w:val="24"/>
          <w:szCs w:val="24"/>
        </w:rPr>
        <w:t>одческие комплексы, цеха по переработке мяса, молочно-товарные фермы, обновлялось поголовье скота. Благодаря работе машинно-тракторных станций все полевые работы проводятся с использованием лучших мировых образцов специализированных машин и технологий.</w:t>
      </w:r>
    </w:p>
    <w:p w:rsidR="00E85D42" w:rsidRDefault="008113B9">
      <w:pPr>
        <w:ind w:firstLine="709"/>
        <w:jc w:val="both"/>
        <w:rPr>
          <w:sz w:val="24"/>
          <w:szCs w:val="24"/>
        </w:rPr>
      </w:pPr>
      <w:r>
        <w:rPr>
          <w:sz w:val="24"/>
          <w:szCs w:val="24"/>
        </w:rPr>
        <w:t>Нар</w:t>
      </w:r>
      <w:r>
        <w:rPr>
          <w:sz w:val="24"/>
          <w:szCs w:val="24"/>
        </w:rPr>
        <w:t>яду с производством в Башкортостане идет модернизация и сферы услуг. Например, за последние два десятка лет республика самостоятельно вывела свои лучшие курорты на современный уровень технологий оздоровления и лечения. Санатории «Красноусольск» и «Янган-Та</w:t>
      </w:r>
      <w:r>
        <w:rPr>
          <w:sz w:val="24"/>
          <w:szCs w:val="24"/>
        </w:rPr>
        <w:t>у» теперь известны всей стране.</w:t>
      </w:r>
    </w:p>
    <w:p w:rsidR="00E85D42" w:rsidRDefault="008113B9">
      <w:pPr>
        <w:ind w:firstLine="709"/>
        <w:jc w:val="both"/>
        <w:rPr>
          <w:sz w:val="24"/>
          <w:szCs w:val="24"/>
        </w:rPr>
      </w:pPr>
      <w:r>
        <w:rPr>
          <w:sz w:val="24"/>
          <w:szCs w:val="24"/>
        </w:rPr>
        <w:t>Республика имеет крупный строительный и транспортный комплексы, активно развивает отрасли производственной и социальной инфраструктуры.</w:t>
      </w:r>
    </w:p>
    <w:p w:rsidR="00E85D42" w:rsidRDefault="00E85D42">
      <w:pPr>
        <w:ind w:firstLine="709"/>
        <w:jc w:val="both"/>
        <w:rPr>
          <w:sz w:val="24"/>
          <w:szCs w:val="24"/>
        </w:rPr>
      </w:pPr>
    </w:p>
    <w:p w:rsidR="00E85D42" w:rsidRDefault="008113B9">
      <w:pPr>
        <w:ind w:firstLine="709"/>
        <w:jc w:val="both"/>
      </w:pPr>
      <w:r>
        <w:rPr>
          <w:b/>
          <w:i/>
          <w:sz w:val="24"/>
          <w:szCs w:val="24"/>
        </w:rPr>
        <w:t>Географическое положение и климат</w:t>
      </w:r>
    </w:p>
    <w:p w:rsidR="00E85D42" w:rsidRDefault="008113B9">
      <w:pPr>
        <w:ind w:firstLine="709"/>
        <w:jc w:val="both"/>
        <w:rPr>
          <w:sz w:val="24"/>
          <w:szCs w:val="24"/>
        </w:rPr>
      </w:pPr>
      <w:r>
        <w:rPr>
          <w:sz w:val="24"/>
          <w:szCs w:val="24"/>
        </w:rPr>
        <w:t>Географическое положение и климат Башкортостана харак</w:t>
      </w:r>
      <w:r>
        <w:rPr>
          <w:sz w:val="24"/>
          <w:szCs w:val="24"/>
        </w:rPr>
        <w:t>теризуется многообразием природных условий и ресурсов. Увалисто-холмистые равнины Башкирского Предуралья занимают 2/3 площади республики, горный Башкирский (Южный) Урал – более 1/4, а грядово-мелкосопочная полоса Башкирского Зауралья – более 1/10.</w:t>
      </w:r>
    </w:p>
    <w:p w:rsidR="00E85D42" w:rsidRDefault="008113B9">
      <w:pPr>
        <w:ind w:firstLine="709"/>
        <w:jc w:val="both"/>
        <w:rPr>
          <w:sz w:val="24"/>
          <w:szCs w:val="24"/>
        </w:rPr>
      </w:pPr>
      <w:r>
        <w:rPr>
          <w:sz w:val="24"/>
          <w:szCs w:val="24"/>
        </w:rPr>
        <w:t>Климат р</w:t>
      </w:r>
      <w:r>
        <w:rPr>
          <w:sz w:val="24"/>
          <w:szCs w:val="24"/>
        </w:rPr>
        <w:t>еспублики континентальный, с влажным, тёплым летом и умеренно суровой зимой. Средняя температура января -18°С, июля - +18°С.</w:t>
      </w:r>
    </w:p>
    <w:p w:rsidR="00E85D42" w:rsidRDefault="008113B9">
      <w:pPr>
        <w:ind w:firstLine="709"/>
        <w:jc w:val="both"/>
        <w:rPr>
          <w:sz w:val="24"/>
          <w:szCs w:val="24"/>
        </w:rPr>
      </w:pPr>
      <w:r>
        <w:rPr>
          <w:sz w:val="24"/>
          <w:szCs w:val="24"/>
        </w:rPr>
        <w:t xml:space="preserve">Растительный и животный мир представляет собой пеструю смесь волжско-камских, уральских и сибирско-казахстанских видов. Территория </w:t>
      </w:r>
      <w:r>
        <w:rPr>
          <w:sz w:val="24"/>
          <w:szCs w:val="24"/>
        </w:rPr>
        <w:t>Башкортостана входит в пределы четырех географических зон умеренного пояса: смешанных лесов, широколиственных лесов, лесостепную и степную зоны. Характерно, что эти зоны под влиянием рельефа отчетливо отклоняются от широтного направления, смещаясь далеко н</w:t>
      </w:r>
      <w:r>
        <w:rPr>
          <w:sz w:val="24"/>
          <w:szCs w:val="24"/>
        </w:rPr>
        <w:t>а юг, вследствие чего различия в почвенно-растительном покрове проявляются резче с запада на восток, чем при продвижении с севера на юг. Существенную роль в этом играют Уральские горы, которые протянулись широкой полосой от северной до южной границы респуб</w:t>
      </w:r>
      <w:r>
        <w:rPr>
          <w:sz w:val="24"/>
          <w:szCs w:val="24"/>
        </w:rPr>
        <w:t>лики. Они предопределяют проникновение лесной зоны далеко на юг, в глубь лесостепей и степей. Лесами покрыто более одной трети территории республики. 73 процента степной и 31 процент лесостепной зоны занимает чернозем. В республике насчитывается более 13 т</w:t>
      </w:r>
      <w:r>
        <w:rPr>
          <w:sz w:val="24"/>
          <w:szCs w:val="24"/>
        </w:rPr>
        <w:t>ыс. рек и 2,7 тыс. озер, прудов и водохранилищ.</w:t>
      </w:r>
    </w:p>
    <w:p w:rsidR="00E85D42" w:rsidRDefault="008113B9">
      <w:pPr>
        <w:ind w:firstLine="709"/>
        <w:jc w:val="both"/>
        <w:rPr>
          <w:sz w:val="24"/>
          <w:szCs w:val="24"/>
        </w:rPr>
      </w:pPr>
      <w:r>
        <w:rPr>
          <w:sz w:val="24"/>
          <w:szCs w:val="24"/>
        </w:rPr>
        <w:t>На Башкирском (Южном) Урале климат, почвы и растительность обнаруживают ярко выраженную высотную поясность, где природные ландшафты изменяются от степей и лесостепей в полосе подножий и низких предгорий до ел</w:t>
      </w:r>
      <w:r>
        <w:rPr>
          <w:sz w:val="24"/>
          <w:szCs w:val="24"/>
        </w:rPr>
        <w:t>ово-пихтовой тайги на высотах от 600 до 1000-1100 м гольцового пояса на самых высоких вершинах гор (до 1600 м и более). На увалисто-холмистых равнинах Башкирского Предуралья наблюдаются проникновение на север по низменным поверхностям и широким долинам рек</w:t>
      </w:r>
      <w:r>
        <w:rPr>
          <w:sz w:val="24"/>
          <w:szCs w:val="24"/>
        </w:rPr>
        <w:t xml:space="preserve"> ландшафтов южного |типа: лесостепной зоны в пределы лесной (Таныпская и Месягутовская лесостепь) и степной – в глубь лесостепной (Демско-Чермасанский степной коридор).</w:t>
      </w:r>
    </w:p>
    <w:p w:rsidR="00E85D42" w:rsidRDefault="008113B9">
      <w:pPr>
        <w:ind w:firstLine="709"/>
        <w:jc w:val="both"/>
        <w:rPr>
          <w:sz w:val="24"/>
          <w:szCs w:val="24"/>
        </w:rPr>
      </w:pPr>
      <w:r>
        <w:rPr>
          <w:sz w:val="24"/>
          <w:szCs w:val="24"/>
        </w:rPr>
        <w:t>В Башкирском Зауралье природный ландшафт имеет облик, характерный для южной полосы Запа</w:t>
      </w:r>
      <w:r>
        <w:rPr>
          <w:sz w:val="24"/>
          <w:szCs w:val="24"/>
        </w:rPr>
        <w:t>дной Сибири и северной части Казахстана. Территория Башкортостана расположена в глубине материка, и воздушные массы, формирующиеся над Атлантикой, поступают сюда измененными. Республика с севера широко открыта влиянию Ледовитого океана, с юга – влиянию зас</w:t>
      </w:r>
      <w:r>
        <w:rPr>
          <w:sz w:val="24"/>
          <w:szCs w:val="24"/>
        </w:rPr>
        <w:t>ушливых регионов Казахстана и Прикаспийской низменности. Уральские горы не препятствуют проникновению зимой холодных воздушных масс Сибири. Все это предопределяет континентальность климата Республики Башкортостан. Территория Республики Башкортостан располо</w:t>
      </w:r>
      <w:r>
        <w:rPr>
          <w:sz w:val="24"/>
          <w:szCs w:val="24"/>
        </w:rPr>
        <w:t>жена в пределах бассейнов рек Волги, Урала и Оби. Водные ресурсы республики складываются из количества воды, поступающей из сопредельных территорий (Челябинской, Пермской, Свердловской, Оренбургской областей и Республики Татарстан), а также ресурсов, форми</w:t>
      </w:r>
      <w:r>
        <w:rPr>
          <w:sz w:val="24"/>
          <w:szCs w:val="24"/>
        </w:rPr>
        <w:t>рующихся в пределах самой республики. Объем средних ежегодно возобновляемых суммарных запасов поверхностных вод, формирующихся на территории Республики Башкортостан, составляет 25,5 куб. км; с учетом вод, поступающих из соседних областей и Республики Татар</w:t>
      </w:r>
      <w:r>
        <w:rPr>
          <w:sz w:val="24"/>
          <w:szCs w:val="24"/>
        </w:rPr>
        <w:t xml:space="preserve">стан, ресурсы возрастают до 35,0 куб. км. В целом республика менее обеспечена водными ресурсами, чем Российская Федерация: на 1 человека в Башкортостане приходится 8750 куб. м воды в год, или 24 куб. м/сутки против 29380 куб. м/год, или 80 куб. м/сутки по </w:t>
      </w:r>
      <w:r>
        <w:rPr>
          <w:sz w:val="24"/>
          <w:szCs w:val="24"/>
        </w:rPr>
        <w:t>России.</w:t>
      </w:r>
    </w:p>
    <w:p w:rsidR="00E85D42" w:rsidRDefault="008113B9">
      <w:pPr>
        <w:ind w:firstLine="709"/>
        <w:jc w:val="both"/>
        <w:rPr>
          <w:sz w:val="24"/>
          <w:szCs w:val="24"/>
        </w:rPr>
      </w:pPr>
      <w:r>
        <w:rPr>
          <w:sz w:val="24"/>
          <w:szCs w:val="24"/>
        </w:rPr>
        <w:t>В Башкортостане насчитывается около 13 тыс. рек общей протяженностью свыше 57 тыс. км. Основную часть из них (99,9 процента по количеству и 87 процентов по протяженности) составляют реки длиной менее 10 км.</w:t>
      </w:r>
    </w:p>
    <w:p w:rsidR="00E85D42" w:rsidRDefault="008113B9">
      <w:pPr>
        <w:ind w:firstLine="709"/>
        <w:jc w:val="both"/>
        <w:rPr>
          <w:sz w:val="24"/>
          <w:szCs w:val="24"/>
        </w:rPr>
      </w:pPr>
      <w:r>
        <w:rPr>
          <w:sz w:val="24"/>
          <w:szCs w:val="24"/>
        </w:rPr>
        <w:t xml:space="preserve">Решение проблемы обеспеченности </w:t>
      </w:r>
      <w:r>
        <w:rPr>
          <w:sz w:val="24"/>
          <w:szCs w:val="24"/>
        </w:rPr>
        <w:t>республики водными ресурсами осуществляется за счет регулирования стока рек водохранилищами и прудами, его пространственно-временного перераспределения. В настоящее время на территории Республики Башкортостан эксплуатируется 443 водохранилища и пруда, из н</w:t>
      </w:r>
      <w:r>
        <w:rPr>
          <w:sz w:val="24"/>
          <w:szCs w:val="24"/>
        </w:rPr>
        <w:t>их 119 водохранилищ имеют объем более 1 млн куб. м.</w:t>
      </w:r>
    </w:p>
    <w:p w:rsidR="00E85D42" w:rsidRDefault="008113B9">
      <w:pPr>
        <w:ind w:firstLine="709"/>
        <w:jc w:val="both"/>
        <w:rPr>
          <w:sz w:val="24"/>
          <w:szCs w:val="24"/>
        </w:rPr>
      </w:pPr>
      <w:r>
        <w:rPr>
          <w:sz w:val="24"/>
          <w:szCs w:val="24"/>
        </w:rPr>
        <w:t>Высокая степень зарегулированности речного стока отмечается в Предуралье (р. Ашкадар, Уршак, Дема, Чермасан, База, Сюнь, Усень). В республике насчитывается около двух тысяч озер, из них 75 процентов распо</w:t>
      </w:r>
      <w:r>
        <w:rPr>
          <w:sz w:val="24"/>
          <w:szCs w:val="24"/>
        </w:rPr>
        <w:t>ложены в западных равнинных районах, остальные главным образом в Башкирском Зауралье.</w:t>
      </w:r>
    </w:p>
    <w:p w:rsidR="00E85D42" w:rsidRDefault="008113B9">
      <w:pPr>
        <w:ind w:firstLine="709"/>
        <w:jc w:val="both"/>
        <w:rPr>
          <w:sz w:val="24"/>
          <w:szCs w:val="24"/>
        </w:rPr>
      </w:pPr>
      <w:r>
        <w:rPr>
          <w:sz w:val="24"/>
          <w:szCs w:val="24"/>
        </w:rPr>
        <w:t>Общая площадь земель лесного фонда Республики Башкортостан составляет 6,3 млн га. Леса по территории республики размещены неравномерно, лесистость колеблется от 6-10 проц</w:t>
      </w:r>
      <w:r>
        <w:rPr>
          <w:sz w:val="24"/>
          <w:szCs w:val="24"/>
        </w:rPr>
        <w:t xml:space="preserve">ентов в юго-западных районах до 60-90 процентов в восточных и северо-восточных районах республики. Леса первой группы занимают площадь 1360,7 тысячи га (25,4%), второй группы – 1365,4 тысячи га (25,4%) и третьей группы – 2641,4 тысячи га (49,2%). Основные </w:t>
      </w:r>
      <w:r>
        <w:rPr>
          <w:sz w:val="24"/>
          <w:szCs w:val="24"/>
        </w:rPr>
        <w:t>лесообразующие породы Республики Башкортостан – береза, липа, сосна, осина, ель, дуб и другие занимают более 99,7 процента земель, покрытых лесной растительностью, прочие древесные породы (черемуха) и кустарники (ива кустарниковая) – остальную площадь.</w:t>
      </w:r>
    </w:p>
    <w:p w:rsidR="00E85D42" w:rsidRDefault="008113B9">
      <w:pPr>
        <w:ind w:firstLine="709"/>
        <w:jc w:val="both"/>
        <w:rPr>
          <w:sz w:val="24"/>
          <w:szCs w:val="24"/>
        </w:rPr>
      </w:pPr>
      <w:r>
        <w:rPr>
          <w:sz w:val="24"/>
          <w:szCs w:val="24"/>
        </w:rPr>
        <w:t>Рес</w:t>
      </w:r>
      <w:r>
        <w:rPr>
          <w:sz w:val="24"/>
          <w:szCs w:val="24"/>
        </w:rPr>
        <w:t>публика Башкортостан отличается значительным многообразием животного мира. На ее территории зарегистрировано 77 видов млекопитающих, более 300 видов птиц, 42 вида рыб, 11 видов пресмыкающихся, 10 видов земноводных, 15 тыс. видов насекомых, 276 видов пауков</w:t>
      </w:r>
      <w:r>
        <w:rPr>
          <w:sz w:val="24"/>
          <w:szCs w:val="24"/>
        </w:rPr>
        <w:t xml:space="preserve">, 70 видов клещей, 120 видов моллюсков, 140 видов ракообразных, около 1000 видов червей. Из редких и исчезающих животных, занесенных в Красную книгу Республики Башкортостан, обитают 18 видов млекопитающих, 49 видов птиц, 7 видов рыб, 3 вида земноводных, 6 </w:t>
      </w:r>
      <w:r>
        <w:rPr>
          <w:sz w:val="24"/>
          <w:szCs w:val="24"/>
        </w:rPr>
        <w:t>видов рептилий и 29 видов беспозвоночных животных, в том числе 28 видов насекомых. 12 видов птиц отмечены в разные годы как залетные. В перечне объектов животного мира, нуждающихся в особом внимании, 71 вид, в том числе 23 вида насекомых, 5 видов рыб, по 1</w:t>
      </w:r>
      <w:r>
        <w:rPr>
          <w:sz w:val="24"/>
          <w:szCs w:val="24"/>
        </w:rPr>
        <w:t xml:space="preserve"> виду земноводных и пресмыкающихся, 34 вида птиц и 7 видов млекопитающих.</w:t>
      </w:r>
    </w:p>
    <w:p w:rsidR="00E85D42" w:rsidRDefault="00E85D42">
      <w:pPr>
        <w:ind w:firstLine="709"/>
        <w:jc w:val="both"/>
        <w:rPr>
          <w:sz w:val="24"/>
          <w:szCs w:val="24"/>
        </w:rPr>
      </w:pPr>
    </w:p>
    <w:p w:rsidR="00E85D42" w:rsidRDefault="008113B9">
      <w:pPr>
        <w:ind w:firstLine="709"/>
        <w:jc w:val="both"/>
      </w:pPr>
      <w:r>
        <w:rPr>
          <w:b/>
          <w:i/>
          <w:sz w:val="24"/>
          <w:szCs w:val="24"/>
        </w:rPr>
        <w:t>Минерально-сырьевые ресурсы Башкортостан</w:t>
      </w:r>
      <w:r>
        <w:rPr>
          <w:b/>
          <w:i/>
          <w:sz w:val="24"/>
          <w:szCs w:val="24"/>
          <w:vertAlign w:val="superscript"/>
        </w:rPr>
        <w:footnoteReference w:id="5"/>
      </w:r>
    </w:p>
    <w:p w:rsidR="00E85D42" w:rsidRDefault="008113B9">
      <w:pPr>
        <w:ind w:firstLine="709"/>
        <w:jc w:val="both"/>
        <w:rPr>
          <w:sz w:val="24"/>
          <w:szCs w:val="24"/>
        </w:rPr>
      </w:pPr>
      <w:r>
        <w:rPr>
          <w:sz w:val="24"/>
          <w:szCs w:val="24"/>
        </w:rPr>
        <w:t xml:space="preserve">Республика является рудной базой цветной металлургии России - в её недрах содержится медь, золото, цинк, хром, алюминий, марганец и другие полезные ископаемые. Добыча нефти, по масштабам которой </w:t>
      </w:r>
      <w:r>
        <w:rPr>
          <w:sz w:val="24"/>
          <w:szCs w:val="24"/>
        </w:rPr>
        <w:t>республика занимает первое место в пределах Урала, сосредоточена на Арланском и Шкаповском месторождениях. В последние годы выявлены новые для республики виды полезных ископаемых: плавиковый шпат, магнезит, фосфорит, цеолит, пирофиллит, глауконит. Применен</w:t>
      </w:r>
      <w:r>
        <w:rPr>
          <w:sz w:val="24"/>
          <w:szCs w:val="24"/>
        </w:rPr>
        <w:t xml:space="preserve">ие современной техники, новых методов поисковых работ создаёт благоприятные геологические предпосылки к открытию нефте- и газоносных площадей в Предуральской и горных частях Башкортостана, новых рудных полей в Зауралье, выявлению и разведке дефицитных для </w:t>
      </w:r>
      <w:r>
        <w:rPr>
          <w:sz w:val="24"/>
          <w:szCs w:val="24"/>
        </w:rPr>
        <w:t xml:space="preserve">Российской Федерации видов полезных ископаемых (хромитов, марганца, алмазов, платиноидов, стронция и др.). </w:t>
      </w:r>
    </w:p>
    <w:p w:rsidR="00E85D42" w:rsidRDefault="008113B9">
      <w:pPr>
        <w:ind w:firstLine="709"/>
        <w:jc w:val="both"/>
        <w:rPr>
          <w:sz w:val="24"/>
          <w:szCs w:val="24"/>
        </w:rPr>
      </w:pPr>
      <w:r>
        <w:rPr>
          <w:sz w:val="24"/>
          <w:szCs w:val="24"/>
        </w:rPr>
        <w:t>В целом по республике минерально-сырьевая база твёрдых полезных ископаемых характеризуется большим разнообразием. На государственном балансе значатс</w:t>
      </w:r>
      <w:r>
        <w:rPr>
          <w:sz w:val="24"/>
          <w:szCs w:val="24"/>
        </w:rPr>
        <w:t>я 900 месторождений (из них стройматериалов 403, подземных вод 72). Основу сырьевой базы цветных металлов составляют медноколчеданные месторождения, характеризующиеся комплексным составом руд. Кроме основных полезных компонентов - меди и цинка, в них содер</w:t>
      </w:r>
      <w:r>
        <w:rPr>
          <w:sz w:val="24"/>
          <w:szCs w:val="24"/>
        </w:rPr>
        <w:t>жатся свинец, золото, серебро, кадмий, селен, теллур, индий, галлий, германий и др. Разведано 14 месторождений, из них 4 относятся к числу крупнейших на Урале и уступают по своим запасам лишь Гайскому месторождению в Оренбургской области.</w:t>
      </w:r>
    </w:p>
    <w:p w:rsidR="00E85D42" w:rsidRDefault="008113B9">
      <w:pPr>
        <w:ind w:firstLine="709"/>
        <w:jc w:val="both"/>
        <w:rPr>
          <w:sz w:val="24"/>
          <w:szCs w:val="24"/>
        </w:rPr>
      </w:pPr>
      <w:r>
        <w:rPr>
          <w:sz w:val="24"/>
          <w:szCs w:val="24"/>
        </w:rPr>
        <w:t>Запасы меди и цин</w:t>
      </w:r>
      <w:r>
        <w:rPr>
          <w:sz w:val="24"/>
          <w:szCs w:val="24"/>
        </w:rPr>
        <w:t>ка составляют соответственно 30 и 47,7% общеуральских запасов. Запасы золота исчисляются десятками тонн при содержании в среднем 1,3 г/т. Месторождения алюминиевых руд представлены группой бокситовых месторождений, мощностью 1 - 3,5 м и с содержанием глино</w:t>
      </w:r>
      <w:r>
        <w:rPr>
          <w:sz w:val="24"/>
          <w:szCs w:val="24"/>
        </w:rPr>
        <w:t>зёма 50 - 55%, кремнезёма 5 - 10%. Подсчитанные и прогнозные ресурсы бокситов составляют около 25 млн.т. Золотодобыча - одна из старейших отраслей промышленности республики, за последние два века здесь добыто более 100 т золота из россыпных и собственно зо</w:t>
      </w:r>
      <w:r>
        <w:rPr>
          <w:sz w:val="24"/>
          <w:szCs w:val="24"/>
        </w:rPr>
        <w:t>лоторудных месторождений, около 50 т из комплексных медноцинковых и полиметаллических золотосодержащих руд.</w:t>
      </w:r>
    </w:p>
    <w:p w:rsidR="00E85D42" w:rsidRDefault="008113B9">
      <w:pPr>
        <w:ind w:firstLine="709"/>
        <w:jc w:val="both"/>
        <w:rPr>
          <w:sz w:val="24"/>
          <w:szCs w:val="24"/>
        </w:rPr>
      </w:pPr>
      <w:r>
        <w:rPr>
          <w:sz w:val="24"/>
          <w:szCs w:val="24"/>
        </w:rPr>
        <w:t>На государственном балансе числятся 19 железно-рудных месторождений с запасами более 70 млн. т. Прогнозные ресурсы железных руд превышают разведанны</w:t>
      </w:r>
      <w:r>
        <w:rPr>
          <w:sz w:val="24"/>
          <w:szCs w:val="24"/>
        </w:rPr>
        <w:t>е в 8 раз. Разведанные в 40-е годы запасы окисленных рыхлых руд Улу-Телякского месторождения составляют 11,3 млн. т со средним содержанием марганца 8,52%. Прогнозные ресурсы их оцениваются в десятки миллионов тонн.</w:t>
      </w:r>
    </w:p>
    <w:p w:rsidR="00E85D42" w:rsidRDefault="008113B9">
      <w:pPr>
        <w:ind w:firstLine="709"/>
        <w:jc w:val="both"/>
        <w:rPr>
          <w:sz w:val="24"/>
          <w:szCs w:val="24"/>
        </w:rPr>
      </w:pPr>
      <w:r>
        <w:rPr>
          <w:sz w:val="24"/>
          <w:szCs w:val="24"/>
        </w:rPr>
        <w:t>Общие запасы бурых углей составляют более</w:t>
      </w:r>
      <w:r>
        <w:rPr>
          <w:sz w:val="24"/>
          <w:szCs w:val="24"/>
        </w:rPr>
        <w:t xml:space="preserve"> 250 млн. т (12,2% уральских запасов углей). Горнорудное сырьё представлено кварцем, асбестом, тальком, магнезитом, яшмами и другими поделочными камнями. Нерудное сырьё для чёрной металлургии - огнеупорные и тугоплавкие глины, формовочные пески, кварциты, </w:t>
      </w:r>
      <w:r>
        <w:rPr>
          <w:sz w:val="24"/>
          <w:szCs w:val="24"/>
        </w:rPr>
        <w:t>магнезит.</w:t>
      </w:r>
    </w:p>
    <w:p w:rsidR="00E85D42" w:rsidRDefault="008113B9">
      <w:pPr>
        <w:ind w:firstLine="709"/>
        <w:jc w:val="both"/>
        <w:rPr>
          <w:sz w:val="24"/>
          <w:szCs w:val="24"/>
        </w:rPr>
      </w:pPr>
      <w:r>
        <w:rPr>
          <w:sz w:val="24"/>
          <w:szCs w:val="24"/>
        </w:rPr>
        <w:t>Весьма значимы в промышленном отношении месторождения каменной соли, известняков, фосфоритов, баритов, самородной серы, серного колчедана.</w:t>
      </w:r>
    </w:p>
    <w:p w:rsidR="00E85D42" w:rsidRDefault="008113B9">
      <w:pPr>
        <w:ind w:firstLine="709"/>
        <w:jc w:val="both"/>
        <w:rPr>
          <w:sz w:val="24"/>
          <w:szCs w:val="24"/>
        </w:rPr>
      </w:pPr>
      <w:r>
        <w:rPr>
          <w:sz w:val="24"/>
          <w:szCs w:val="24"/>
        </w:rPr>
        <w:t xml:space="preserve">Строительными нерудными материалами практически полностью обеспечиваются потребности местной строительной </w:t>
      </w:r>
      <w:r>
        <w:rPr>
          <w:sz w:val="24"/>
          <w:szCs w:val="24"/>
        </w:rPr>
        <w:t>индустрии. Они представлены цементными карбонатными породами, стекольными песками, глинами, ангидритами, кирпичными и черепичными глинами, песками, строительным камнем, гравием и др.</w:t>
      </w:r>
    </w:p>
    <w:p w:rsidR="00E85D42" w:rsidRDefault="008113B9">
      <w:pPr>
        <w:ind w:firstLine="709"/>
        <w:jc w:val="both"/>
        <w:rPr>
          <w:sz w:val="24"/>
          <w:szCs w:val="24"/>
        </w:rPr>
      </w:pPr>
      <w:r>
        <w:rPr>
          <w:sz w:val="24"/>
          <w:szCs w:val="24"/>
        </w:rPr>
        <w:t>Из других перспективных видов сырья следует отметить: стронций, представл</w:t>
      </w:r>
      <w:r>
        <w:rPr>
          <w:sz w:val="24"/>
          <w:szCs w:val="24"/>
        </w:rPr>
        <w:t>енный целестиновой минерализацией в Предуральском краевом прогибе среди сульфидно-карбонатных отложений кунгурского яруса (среднее содержание стронция 17%, прогнозные ресурсы 40 тыс. т); глаукониты (калиевое удобрение); цеолиты (добавка в корм скоту и птиц</w:t>
      </w:r>
      <w:r>
        <w:rPr>
          <w:sz w:val="24"/>
          <w:szCs w:val="24"/>
        </w:rPr>
        <w:t>е); пирофиллиты (керамика, огнеупоры, наполнители).</w:t>
      </w:r>
    </w:p>
    <w:p w:rsidR="00E85D42" w:rsidRDefault="008113B9">
      <w:pPr>
        <w:ind w:firstLine="709"/>
        <w:jc w:val="both"/>
        <w:rPr>
          <w:sz w:val="24"/>
          <w:szCs w:val="24"/>
        </w:rPr>
      </w:pPr>
      <w:r>
        <w:rPr>
          <w:sz w:val="24"/>
          <w:szCs w:val="24"/>
        </w:rPr>
        <w:t>Известно повышенное содержание йода, брома, лития и стронция в промышленных подземных водах, извлекаемых попутно при добыче нефти. Имеются значительные количества месторождений торфа и сапропеля, минерали</w:t>
      </w:r>
      <w:r>
        <w:rPr>
          <w:sz w:val="24"/>
          <w:szCs w:val="24"/>
        </w:rPr>
        <w:t>зированных вод с температурой 50-600 град.С, лечебных грязей, питьевых подземных вод.</w:t>
      </w:r>
    </w:p>
    <w:p w:rsidR="00E85D42" w:rsidRDefault="00E85D42">
      <w:pPr>
        <w:ind w:firstLine="709"/>
        <w:jc w:val="both"/>
        <w:rPr>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8113B9">
      <w:pPr>
        <w:ind w:firstLine="709"/>
        <w:jc w:val="both"/>
      </w:pPr>
      <w:r>
        <w:rPr>
          <w:b/>
          <w:i/>
          <w:sz w:val="24"/>
          <w:szCs w:val="24"/>
        </w:rPr>
        <w:t>Административно-территориальное устройство Республики Башкортостан</w:t>
      </w:r>
      <w:r>
        <w:rPr>
          <w:b/>
          <w:i/>
          <w:sz w:val="24"/>
          <w:szCs w:val="24"/>
          <w:vertAlign w:val="superscript"/>
        </w:rPr>
        <w:footnoteReference w:id="6"/>
      </w:r>
    </w:p>
    <w:p w:rsidR="00E85D42" w:rsidRDefault="008113B9">
      <w:pPr>
        <w:ind w:firstLine="709"/>
        <w:jc w:val="both"/>
      </w:pPr>
      <w:r>
        <w:rPr>
          <w:noProof/>
          <w:sz w:val="24"/>
          <w:szCs w:val="24"/>
        </w:rPr>
        <w:drawing>
          <wp:inline distT="0" distB="0" distL="0" distR="0">
            <wp:extent cx="5038728" cy="7136389"/>
            <wp:effectExtent l="0" t="0" r="9522" b="7361"/>
            <wp:docPr id="45" name="Рисунок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rcRect/>
                    <a:stretch>
                      <a:fillRect/>
                    </a:stretch>
                  </pic:blipFill>
                  <pic:spPr>
                    <a:xfrm>
                      <a:off x="0" y="0"/>
                      <a:ext cx="5038728" cy="7136389"/>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В действующей Конституции Республики Башкортостан административно-территориальное устройство республики закреплено в статье 64, где в качестве адм</w:t>
      </w:r>
      <w:r>
        <w:rPr>
          <w:sz w:val="24"/>
          <w:szCs w:val="24"/>
        </w:rPr>
        <w:t>инистративно-территориальных единиц, непосредственно входящих в состав Республики Башкортостан, определены районы, а также приравненные к районам отдельные административно-территориальные единицы (например, Баймакский район и город Баймак), города республи</w:t>
      </w:r>
      <w:r>
        <w:rPr>
          <w:sz w:val="24"/>
          <w:szCs w:val="24"/>
        </w:rPr>
        <w:t>канского значения Агидель, Кумертау, Нефтекамск, Октябрьский, Салават, Сибай, Стерлитамак, Уфа.</w:t>
      </w:r>
    </w:p>
    <w:p w:rsidR="00E85D42" w:rsidRDefault="008113B9">
      <w:pPr>
        <w:ind w:firstLine="709"/>
        <w:jc w:val="both"/>
        <w:rPr>
          <w:sz w:val="24"/>
          <w:szCs w:val="24"/>
        </w:rPr>
      </w:pPr>
      <w:r>
        <w:rPr>
          <w:sz w:val="24"/>
          <w:szCs w:val="24"/>
        </w:rPr>
        <w:t>Закон Республики Башкортостан от 26 декабря 2014 г. № 166-з «О статусе города Уфы — столицы Республики Башкортостан» (до его принятия действовал Закон Республик</w:t>
      </w:r>
      <w:r>
        <w:rPr>
          <w:sz w:val="24"/>
          <w:szCs w:val="24"/>
        </w:rPr>
        <w:t>и Башкортостан от 14 марта 1996 г. № 25-з «О статусе города Уфы — столицы Республики Башкортостан») устанавливает статус столицы Республики Башкортостан, под которым понимается правовое, территориальное и экономическое положение города Уфы, обусловленное о</w:t>
      </w:r>
      <w:r>
        <w:rPr>
          <w:sz w:val="24"/>
          <w:szCs w:val="24"/>
        </w:rPr>
        <w:t>существлением городом функций столицы Республики Башкортостан.</w:t>
      </w:r>
    </w:p>
    <w:p w:rsidR="00E85D42" w:rsidRDefault="008113B9">
      <w:pPr>
        <w:ind w:firstLine="709"/>
        <w:jc w:val="both"/>
        <w:rPr>
          <w:sz w:val="24"/>
          <w:szCs w:val="24"/>
        </w:rPr>
      </w:pPr>
      <w:r>
        <w:rPr>
          <w:sz w:val="24"/>
          <w:szCs w:val="24"/>
        </w:rPr>
        <w:t>На сегодняшний день принципы и порядок изменения административно-территориального устройства Республики Башкортостан, виды, порядок регистрации, учета административно-территориальных единиц и н</w:t>
      </w:r>
      <w:r>
        <w:rPr>
          <w:sz w:val="24"/>
          <w:szCs w:val="24"/>
        </w:rPr>
        <w:t>аселенных пунктов республики и иные вопросы административно-территориального устройства Республики Башкортостан определяются Законом Республики Башкортостан от 20 апреля 2005 г. № 178-з «Об административно-территориальном устройстве Республики Башкортостан</w:t>
      </w:r>
      <w:r>
        <w:rPr>
          <w:sz w:val="24"/>
          <w:szCs w:val="24"/>
        </w:rPr>
        <w:t>». Порядок присвоения наименований и переименования административно-территориальных единиц и населенных пунктов регулируется Федеральным законом от 18 декабря 1997 г. № 152-ФЗ «О наименованиях географических объектов», а порядок рассмотрения, информировани</w:t>
      </w:r>
      <w:r>
        <w:rPr>
          <w:sz w:val="24"/>
          <w:szCs w:val="24"/>
        </w:rPr>
        <w:t xml:space="preserve">я и выявления мнения населения о предложениях по присвоению им наименований или переименовании — Законом Республики Башкортостан от 27 февраля 2015 г. № 191-з «О порядке рассмотрения, информирования и выявления мнения населения о предложениях о присвоении </w:t>
      </w:r>
      <w:r>
        <w:rPr>
          <w:sz w:val="24"/>
          <w:szCs w:val="24"/>
        </w:rPr>
        <w:t>наименований или переименовании географических объектов».</w:t>
      </w:r>
    </w:p>
    <w:p w:rsidR="00E85D42" w:rsidRDefault="008113B9">
      <w:pPr>
        <w:ind w:firstLine="709"/>
        <w:jc w:val="right"/>
        <w:rPr>
          <w:sz w:val="24"/>
          <w:szCs w:val="24"/>
        </w:rPr>
      </w:pPr>
      <w:r>
        <w:rPr>
          <w:sz w:val="24"/>
          <w:szCs w:val="24"/>
        </w:rPr>
        <w:t>Таблица 3.1.2.1</w:t>
      </w:r>
    </w:p>
    <w:tbl>
      <w:tblPr>
        <w:tblW w:w="9464" w:type="dxa"/>
        <w:tblCellMar>
          <w:left w:w="10" w:type="dxa"/>
          <w:right w:w="10" w:type="dxa"/>
        </w:tblCellMar>
        <w:tblLook w:val="04A0" w:firstRow="1" w:lastRow="0" w:firstColumn="1" w:lastColumn="0" w:noHBand="0" w:noVBand="1"/>
      </w:tblPr>
      <w:tblGrid>
        <w:gridCol w:w="4644"/>
        <w:gridCol w:w="4820"/>
      </w:tblGrid>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Столица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Уфа</w:t>
            </w:r>
          </w:p>
        </w:tc>
      </w:tr>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Дата образования республики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23 марта 1919 г.</w:t>
            </w:r>
          </w:p>
        </w:tc>
      </w:tr>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Территория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142,9 тыс. кв. км</w:t>
            </w:r>
          </w:p>
        </w:tc>
      </w:tr>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Население (по переписи 2010 г.), в том числе: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4072292 чел.</w:t>
            </w:r>
          </w:p>
        </w:tc>
      </w:tr>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городское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2461652 чел.</w:t>
            </w:r>
          </w:p>
        </w:tc>
      </w:tr>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сельское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1610640 чел.</w:t>
            </w:r>
          </w:p>
        </w:tc>
      </w:tr>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Население на 1 января 2019 г., в том числе: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4051005 чел.</w:t>
            </w:r>
          </w:p>
        </w:tc>
      </w:tr>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городское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2520864 чел.</w:t>
            </w:r>
          </w:p>
        </w:tc>
      </w:tr>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сельское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1530141чел.</w:t>
            </w:r>
          </w:p>
        </w:tc>
      </w:tr>
      <w:tr w:rsidR="00E85D42">
        <w:tblPrEx>
          <w:tblCellMar>
            <w:top w:w="0" w:type="dxa"/>
            <w:bottom w:w="0" w:type="dxa"/>
          </w:tblCellMar>
        </w:tblPrEx>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Расстояние от Москвы до Уфы</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1519 км</w:t>
            </w:r>
          </w:p>
        </w:tc>
      </w:tr>
    </w:tbl>
    <w:p w:rsidR="00E85D42" w:rsidRDefault="00E85D42">
      <w:pPr>
        <w:jc w:val="both"/>
        <w:rPr>
          <w:sz w:val="24"/>
          <w:szCs w:val="24"/>
        </w:rPr>
      </w:pPr>
    </w:p>
    <w:p w:rsidR="00E85D42" w:rsidRDefault="008113B9">
      <w:pPr>
        <w:jc w:val="center"/>
        <w:rPr>
          <w:sz w:val="24"/>
          <w:szCs w:val="24"/>
        </w:rPr>
      </w:pPr>
      <w:r>
        <w:rPr>
          <w:sz w:val="24"/>
          <w:szCs w:val="24"/>
        </w:rPr>
        <w:t>Число административно-территориальных единиц:</w:t>
      </w:r>
    </w:p>
    <w:p w:rsidR="00E85D42" w:rsidRDefault="008113B9">
      <w:pPr>
        <w:ind w:firstLine="709"/>
        <w:jc w:val="right"/>
        <w:rPr>
          <w:sz w:val="24"/>
          <w:szCs w:val="24"/>
        </w:rPr>
      </w:pPr>
      <w:r>
        <w:rPr>
          <w:sz w:val="24"/>
          <w:szCs w:val="24"/>
        </w:rPr>
        <w:t>Таблица 3.1.2.2</w:t>
      </w:r>
    </w:p>
    <w:tbl>
      <w:tblPr>
        <w:tblW w:w="9570" w:type="dxa"/>
        <w:tblCellMar>
          <w:left w:w="10" w:type="dxa"/>
          <w:right w:w="10" w:type="dxa"/>
        </w:tblCellMar>
        <w:tblLook w:val="04A0" w:firstRow="1" w:lastRow="0" w:firstColumn="1" w:lastColumn="0" w:noHBand="0" w:noVBand="1"/>
      </w:tblPr>
      <w:tblGrid>
        <w:gridCol w:w="4785"/>
        <w:gridCol w:w="4785"/>
      </w:tblGrid>
      <w:tr w:rsidR="00E85D42">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szCs w:val="24"/>
              </w:rPr>
            </w:pPr>
            <w:r>
              <w:rPr>
                <w:sz w:val="24"/>
                <w:szCs w:val="24"/>
              </w:rPr>
              <w:t>районов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54</w:t>
            </w:r>
          </w:p>
        </w:tc>
      </w:tr>
      <w:tr w:rsidR="00E85D42">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szCs w:val="24"/>
              </w:rPr>
            </w:pPr>
            <w:r>
              <w:rPr>
                <w:sz w:val="24"/>
                <w:szCs w:val="24"/>
              </w:rPr>
              <w:t>городов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21</w:t>
            </w:r>
          </w:p>
        </w:tc>
      </w:tr>
      <w:tr w:rsidR="00E85D42">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szCs w:val="24"/>
              </w:rPr>
            </w:pPr>
            <w:r>
              <w:rPr>
                <w:sz w:val="24"/>
                <w:szCs w:val="24"/>
              </w:rPr>
              <w:t>поссоветов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2</w:t>
            </w:r>
          </w:p>
        </w:tc>
      </w:tr>
      <w:tr w:rsidR="00E85D42">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szCs w:val="24"/>
              </w:rPr>
            </w:pPr>
            <w:r>
              <w:rPr>
                <w:sz w:val="24"/>
                <w:szCs w:val="24"/>
              </w:rPr>
              <w:t>сельсоветов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828</w:t>
            </w:r>
          </w:p>
        </w:tc>
      </w:tr>
      <w:tr w:rsidR="00E85D42">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szCs w:val="24"/>
              </w:rPr>
            </w:pPr>
            <w:r>
              <w:rPr>
                <w:sz w:val="24"/>
                <w:szCs w:val="24"/>
              </w:rPr>
              <w:t>рабочих поселков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2</w:t>
            </w:r>
          </w:p>
        </w:tc>
      </w:tr>
      <w:tr w:rsidR="00E85D42">
        <w:tblPrEx>
          <w:tblCellMar>
            <w:top w:w="0" w:type="dxa"/>
            <w:bottom w:w="0" w:type="dxa"/>
          </w:tblCellMar>
        </w:tblPrEx>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 w:val="24"/>
                <w:szCs w:val="24"/>
              </w:rPr>
            </w:pPr>
            <w:r>
              <w:rPr>
                <w:sz w:val="24"/>
                <w:szCs w:val="24"/>
              </w:rPr>
              <w:t>сельских населенных пунктов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4538</w:t>
            </w:r>
          </w:p>
        </w:tc>
      </w:tr>
    </w:tbl>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8113B9">
      <w:pPr>
        <w:jc w:val="center"/>
        <w:rPr>
          <w:sz w:val="24"/>
          <w:szCs w:val="24"/>
        </w:rPr>
      </w:pPr>
      <w:r>
        <w:rPr>
          <w:sz w:val="24"/>
          <w:szCs w:val="24"/>
        </w:rPr>
        <w:t>Города республиканского значения</w:t>
      </w:r>
    </w:p>
    <w:p w:rsidR="00E85D42" w:rsidRDefault="008113B9">
      <w:pPr>
        <w:ind w:firstLine="709"/>
        <w:jc w:val="right"/>
        <w:rPr>
          <w:sz w:val="24"/>
          <w:szCs w:val="24"/>
        </w:rPr>
      </w:pPr>
      <w:r>
        <w:rPr>
          <w:sz w:val="24"/>
          <w:szCs w:val="24"/>
        </w:rPr>
        <w:t>Таблица 3.1.2.3</w:t>
      </w:r>
    </w:p>
    <w:tbl>
      <w:tblPr>
        <w:tblW w:w="9570" w:type="dxa"/>
        <w:tblCellMar>
          <w:left w:w="10" w:type="dxa"/>
          <w:right w:w="10" w:type="dxa"/>
        </w:tblCellMar>
        <w:tblLook w:val="04A0" w:firstRow="1" w:lastRow="0" w:firstColumn="1" w:lastColumn="0" w:noHBand="0" w:noVBand="1"/>
      </w:tblPr>
      <w:tblGrid>
        <w:gridCol w:w="675"/>
        <w:gridCol w:w="3311"/>
        <w:gridCol w:w="1508"/>
        <w:gridCol w:w="1417"/>
        <w:gridCol w:w="2659"/>
      </w:tblGrid>
      <w:tr w:rsidR="00E85D42">
        <w:tblPrEx>
          <w:tblCellMar>
            <w:top w:w="0" w:type="dxa"/>
            <w:bottom w:w="0" w:type="dxa"/>
          </w:tblCellMar>
        </w:tblPrEx>
        <w:trPr>
          <w:trHeight w:val="104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п/п</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Наименование города</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Год образования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Площадь территории (кв. км)</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pPr>
            <w:r>
              <w:rPr>
                <w:sz w:val="24"/>
                <w:szCs w:val="24"/>
              </w:rPr>
              <w:t xml:space="preserve">Численность постоянного населения на 1 января </w:t>
            </w:r>
            <w:r>
              <w:rPr>
                <w:sz w:val="24"/>
                <w:szCs w:val="24"/>
              </w:rPr>
              <w:t>2019 г. (чел.)</w:t>
            </w:r>
            <w:r>
              <w:rPr>
                <w:sz w:val="24"/>
                <w:szCs w:val="24"/>
                <w:vertAlign w:val="superscript"/>
              </w:rPr>
              <w:footnoteReference w:id="7"/>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Уфа</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1574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715,15</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1135480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Агидель</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1991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67</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14601</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Баймак</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1938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139</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17254</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Белебей</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1781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39</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59137</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Белорецк</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1762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43</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65054</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Бирск</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1663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70</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48239</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7</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Благовещенск</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1941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65</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34967</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8</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Давлеканово</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41</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23499</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9</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Дюртюли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25</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31275</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10</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Ишимбай</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1940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103</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64307</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11</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Кумертау</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170</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63608</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12</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Мелеуз</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32</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57248</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13</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Нефтекамск</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147</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140504</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14</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Октябрьский</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1946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99</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114194</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15</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Салават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106</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151571</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16</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Сибай</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154</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62067</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17</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Стерлитамак</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1766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109</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278127</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18</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Туймазы</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42</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68587</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Учалы</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46</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37710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Янаул</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1991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26</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25361</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21</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Межгорье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1995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221</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15603</w:t>
            </w:r>
          </w:p>
        </w:tc>
      </w:tr>
    </w:tbl>
    <w:p w:rsidR="00E85D42" w:rsidRDefault="00E85D42">
      <w:pPr>
        <w:jc w:val="both"/>
        <w:rPr>
          <w:sz w:val="24"/>
          <w:szCs w:val="24"/>
        </w:rPr>
      </w:pPr>
    </w:p>
    <w:p w:rsidR="00E85D42" w:rsidRDefault="008113B9">
      <w:pPr>
        <w:jc w:val="center"/>
        <w:rPr>
          <w:sz w:val="24"/>
          <w:szCs w:val="24"/>
        </w:rPr>
      </w:pPr>
      <w:r>
        <w:rPr>
          <w:sz w:val="24"/>
          <w:szCs w:val="24"/>
        </w:rPr>
        <w:t>Поселки городского типа</w:t>
      </w:r>
    </w:p>
    <w:p w:rsidR="00E85D42" w:rsidRDefault="008113B9">
      <w:pPr>
        <w:ind w:firstLine="709"/>
        <w:jc w:val="right"/>
        <w:rPr>
          <w:sz w:val="24"/>
          <w:szCs w:val="24"/>
        </w:rPr>
      </w:pPr>
      <w:r>
        <w:rPr>
          <w:sz w:val="24"/>
          <w:szCs w:val="24"/>
        </w:rPr>
        <w:t>Таблица 3.1.2.4</w:t>
      </w:r>
    </w:p>
    <w:tbl>
      <w:tblPr>
        <w:tblW w:w="9606" w:type="dxa"/>
        <w:tblCellMar>
          <w:left w:w="10" w:type="dxa"/>
          <w:right w:w="10" w:type="dxa"/>
        </w:tblCellMar>
        <w:tblLook w:val="04A0" w:firstRow="1" w:lastRow="0" w:firstColumn="1" w:lastColumn="0" w:noHBand="0" w:noVBand="1"/>
      </w:tblPr>
      <w:tblGrid>
        <w:gridCol w:w="2410"/>
        <w:gridCol w:w="1487"/>
        <w:gridCol w:w="1984"/>
        <w:gridCol w:w="1801"/>
        <w:gridCol w:w="1924"/>
      </w:tblGrid>
      <w:tr w:rsidR="00E85D42">
        <w:tblPrEx>
          <w:tblCellMar>
            <w:top w:w="0" w:type="dxa"/>
            <w:bottom w:w="0" w:type="dxa"/>
          </w:tblCellMar>
        </w:tblPrEx>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Наименование</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Год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В какой район или город входит</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Численность населения по переписи 2010 г. (чел.)</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pPr>
            <w:r>
              <w:rPr>
                <w:sz w:val="24"/>
                <w:szCs w:val="24"/>
              </w:rPr>
              <w:t xml:space="preserve">Численность населения </w:t>
            </w:r>
            <w:r>
              <w:rPr>
                <w:sz w:val="24"/>
                <w:szCs w:val="24"/>
              </w:rPr>
              <w:t>на 1 января 2019 г. (чел.)</w:t>
            </w:r>
            <w:r>
              <w:rPr>
                <w:sz w:val="24"/>
                <w:szCs w:val="24"/>
                <w:vertAlign w:val="superscript"/>
              </w:rPr>
              <w:t>5</w:t>
            </w:r>
          </w:p>
        </w:tc>
      </w:tr>
      <w:tr w:rsidR="00E85D42">
        <w:tblPrEx>
          <w:tblCellMar>
            <w:top w:w="0" w:type="dxa"/>
            <w:bottom w:w="0" w:type="dxa"/>
          </w:tblCellMar>
        </w:tblPrEx>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Приютово</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1956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Белебеевский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20891</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19132</w:t>
            </w:r>
          </w:p>
        </w:tc>
      </w:tr>
      <w:tr w:rsidR="00E85D42">
        <w:tblPrEx>
          <w:tblCellMar>
            <w:top w:w="0" w:type="dxa"/>
            <w:bottom w:w="0" w:type="dxa"/>
          </w:tblCellMar>
        </w:tblPrEx>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Чишмы</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1946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Чишминский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21196</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22733</w:t>
            </w:r>
          </w:p>
        </w:tc>
      </w:tr>
    </w:tbl>
    <w:p w:rsidR="00E85D42" w:rsidRDefault="00E85D42">
      <w:pPr>
        <w:jc w:val="both"/>
        <w:rPr>
          <w:sz w:val="24"/>
          <w:szCs w:val="24"/>
        </w:rPr>
      </w:pPr>
    </w:p>
    <w:p w:rsidR="00E85D42" w:rsidRDefault="008113B9">
      <w:pPr>
        <w:jc w:val="center"/>
        <w:rPr>
          <w:sz w:val="24"/>
          <w:szCs w:val="24"/>
        </w:rPr>
      </w:pPr>
      <w:r>
        <w:rPr>
          <w:sz w:val="24"/>
          <w:szCs w:val="24"/>
        </w:rPr>
        <w:t>Районы и районные центры</w:t>
      </w:r>
    </w:p>
    <w:p w:rsidR="00E85D42" w:rsidRDefault="008113B9">
      <w:pPr>
        <w:ind w:firstLine="709"/>
        <w:jc w:val="right"/>
        <w:rPr>
          <w:sz w:val="24"/>
          <w:szCs w:val="24"/>
        </w:rPr>
      </w:pPr>
      <w:r>
        <w:rPr>
          <w:sz w:val="24"/>
          <w:szCs w:val="24"/>
        </w:rPr>
        <w:t>Таблица 3.1.2.5</w:t>
      </w:r>
    </w:p>
    <w:tbl>
      <w:tblPr>
        <w:tblW w:w="9606" w:type="dxa"/>
        <w:tblLayout w:type="fixed"/>
        <w:tblCellMar>
          <w:left w:w="10" w:type="dxa"/>
          <w:right w:w="10" w:type="dxa"/>
        </w:tblCellMar>
        <w:tblLook w:val="04A0" w:firstRow="1" w:lastRow="0" w:firstColumn="1" w:lastColumn="0" w:noHBand="0" w:noVBand="1"/>
      </w:tblPr>
      <w:tblGrid>
        <w:gridCol w:w="675"/>
        <w:gridCol w:w="3544"/>
        <w:gridCol w:w="3544"/>
        <w:gridCol w:w="1843"/>
      </w:tblGrid>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 п/п</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Наименование районов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Наименование районного центра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Расстояние до Уфы</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Абзелиловский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с. </w:t>
            </w:r>
            <w:r>
              <w:rPr>
                <w:sz w:val="24"/>
                <w:szCs w:val="24"/>
              </w:rPr>
              <w:t>Аскарово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350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Альшеевский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Раевский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125</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Архангельский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Архангельское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100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Аскинский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Аскино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213</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Аургазинский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Толбазы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80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Баймакский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Баймак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489</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7</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Бакалинский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Бакалы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175</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Балтачевский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Старобалтачево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220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9</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Белебеевский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Белебей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180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Белокатайский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Новобелокатай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341</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Белорецкий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Белорецк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250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Бижбулякский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Бижбуляк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230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Бирский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Бирск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102</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Благоварский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Языково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70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Благовещенский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Благовещенск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42</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16</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Буздякский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Буздяк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120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17</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Бураевский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Бураево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152</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Бурзянский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Старосубхангулово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360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Гафурийский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Красноусольский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130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Давлекановский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Давлеканово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105</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Дуванский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Месягутово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233</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Дюртюлинский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Дюртюли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124</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Ермекеевский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Ермекеево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235</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Зианчуринский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Исянгулово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337</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Зилаирский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Зилаир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410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26</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Иглинский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Иглино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49</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27</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Илишевский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Верхнеяркеево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160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Ишимбайский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Ишимбай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160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29</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Калтасинский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Калтасы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202</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Караидельский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Караидель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217</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Кармаскалинский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Кармаскалы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Кигинский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Верхние Киги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294</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Краснокамский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Николо-Березовка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210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Кугарчинский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Мраково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271</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Кушнаренковский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Кушнаренково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60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36</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Куюргазинский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Ермолаево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245</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37</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Мелеузовский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Мелеуз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205</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Мечетлинский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Большеустьикинское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283</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39</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Мишкинский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Мишкино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131</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Миякинский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Киргиз-Мияки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190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Нуримановский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Красная Горка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100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Салаватский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Малояз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183</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Стерлибашевский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Стерлибашево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182</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Стерлитамакский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Стерлитамак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130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Татышлинский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Верхние Татышлы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209</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46</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Туймазинский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Туймазы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170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47</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Уфимский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Уфа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Учалинский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 Учалы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356</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49</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Федоровский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Федоровка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230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Хайбуллинский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Акъяр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520</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Чекмагушевский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Чекмагуш</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111</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Чишминский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р. п. Чишмы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57</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Шаранский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 Шаран</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201</w:t>
            </w:r>
          </w:p>
        </w:tc>
      </w:tr>
      <w:tr w:rsidR="00E85D42">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Янаульский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г.</w:t>
            </w:r>
            <w:r>
              <w:rPr>
                <w:sz w:val="24"/>
                <w:szCs w:val="24"/>
              </w:rPr>
              <w:t xml:space="preserve"> Янаул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223</w:t>
            </w:r>
          </w:p>
        </w:tc>
      </w:tr>
    </w:tbl>
    <w:p w:rsidR="00E85D42" w:rsidRDefault="008113B9">
      <w:pPr>
        <w:jc w:val="center"/>
        <w:rPr>
          <w:b/>
          <w:sz w:val="24"/>
          <w:szCs w:val="24"/>
        </w:rPr>
      </w:pPr>
      <w:r>
        <w:rPr>
          <w:b/>
          <w:sz w:val="24"/>
          <w:szCs w:val="24"/>
        </w:rPr>
        <w:t>3.1.2.1 Земли, занятые лесами</w:t>
      </w:r>
    </w:p>
    <w:p w:rsidR="00E85D42" w:rsidRDefault="00E85D42">
      <w:pPr>
        <w:jc w:val="center"/>
        <w:rPr>
          <w:b/>
          <w:sz w:val="24"/>
          <w:szCs w:val="24"/>
        </w:rPr>
      </w:pPr>
    </w:p>
    <w:p w:rsidR="00E85D42" w:rsidRDefault="008113B9">
      <w:pPr>
        <w:ind w:firstLine="709"/>
        <w:jc w:val="both"/>
      </w:pPr>
      <w:r>
        <w:rPr>
          <w:sz w:val="24"/>
          <w:szCs w:val="24"/>
        </w:rPr>
        <w:t>По данным государственного лесного реестра площадь земель Республики Башкортостан, покрытых лесной растительностью, составляет 5 186,5 тыс. га, площадь земель лесного фонда – 5 747,7 тыс. га</w:t>
      </w:r>
      <w:r>
        <w:rPr>
          <w:sz w:val="24"/>
          <w:szCs w:val="24"/>
        </w:rPr>
        <w:footnoteReference w:id="8"/>
      </w:r>
      <w:r>
        <w:rPr>
          <w:sz w:val="24"/>
          <w:szCs w:val="24"/>
        </w:rPr>
        <w:t>.</w:t>
      </w:r>
    </w:p>
    <w:p w:rsidR="00E85D42" w:rsidRDefault="008113B9">
      <w:pPr>
        <w:ind w:firstLine="709"/>
        <w:jc w:val="both"/>
        <w:rPr>
          <w:sz w:val="24"/>
          <w:szCs w:val="24"/>
        </w:rPr>
      </w:pPr>
      <w:r>
        <w:rPr>
          <w:sz w:val="24"/>
          <w:szCs w:val="24"/>
        </w:rPr>
        <w:t>К лесам, расположенным на землях, не входящих в лесной фонд, относятся леса, располож</w:t>
      </w:r>
      <w:r>
        <w:rPr>
          <w:sz w:val="24"/>
          <w:szCs w:val="24"/>
        </w:rPr>
        <w:t>енные на землях следующих категорий:</w:t>
      </w:r>
    </w:p>
    <w:p w:rsidR="00E85D42" w:rsidRDefault="008113B9">
      <w:pPr>
        <w:ind w:firstLine="709"/>
        <w:jc w:val="both"/>
        <w:rPr>
          <w:sz w:val="24"/>
          <w:szCs w:val="24"/>
        </w:rPr>
      </w:pPr>
      <w:r>
        <w:rPr>
          <w:sz w:val="24"/>
          <w:szCs w:val="24"/>
        </w:rPr>
        <w:t> леса на землях обороны и безопасности (5,6 тыс. га);</w:t>
      </w:r>
    </w:p>
    <w:p w:rsidR="00E85D42" w:rsidRDefault="008113B9">
      <w:pPr>
        <w:ind w:firstLine="709"/>
        <w:jc w:val="both"/>
        <w:rPr>
          <w:sz w:val="24"/>
          <w:szCs w:val="24"/>
        </w:rPr>
      </w:pPr>
      <w:r>
        <w:rPr>
          <w:sz w:val="24"/>
          <w:szCs w:val="24"/>
        </w:rPr>
        <w:t xml:space="preserve"> леса, расположенные на землях особо охраняемых природных территорий, находящиеся в ведении Министерства природных ресурсов и экологии Российской Федерации (380,6 </w:t>
      </w:r>
      <w:r>
        <w:rPr>
          <w:sz w:val="24"/>
          <w:szCs w:val="24"/>
        </w:rPr>
        <w:t>тыс. га);</w:t>
      </w:r>
    </w:p>
    <w:p w:rsidR="00E85D42" w:rsidRDefault="008113B9">
      <w:pPr>
        <w:ind w:firstLine="709"/>
        <w:jc w:val="both"/>
        <w:rPr>
          <w:sz w:val="24"/>
          <w:szCs w:val="24"/>
        </w:rPr>
      </w:pPr>
      <w:r>
        <w:rPr>
          <w:sz w:val="24"/>
          <w:szCs w:val="24"/>
        </w:rPr>
        <w:t> леса, расположенные на землях населенных пунктов, на которых расположены городские леса (29,2 тыс. га);</w:t>
      </w:r>
    </w:p>
    <w:p w:rsidR="00E85D42" w:rsidRDefault="008113B9">
      <w:pPr>
        <w:ind w:firstLine="709"/>
        <w:jc w:val="both"/>
        <w:rPr>
          <w:sz w:val="24"/>
          <w:szCs w:val="24"/>
        </w:rPr>
      </w:pPr>
      <w:r>
        <w:rPr>
          <w:sz w:val="24"/>
          <w:szCs w:val="24"/>
        </w:rPr>
        <w:t xml:space="preserve"> леса, расположенные на землях иных категорий (144,6 тыс. га). </w:t>
      </w:r>
    </w:p>
    <w:p w:rsidR="00E85D42" w:rsidRDefault="008113B9">
      <w:pPr>
        <w:ind w:firstLine="709"/>
        <w:jc w:val="both"/>
        <w:rPr>
          <w:sz w:val="24"/>
          <w:szCs w:val="24"/>
        </w:rPr>
      </w:pPr>
      <w:r>
        <w:rPr>
          <w:sz w:val="24"/>
          <w:szCs w:val="24"/>
        </w:rPr>
        <w:t xml:space="preserve">С учетом вышеперечисленных категорий общая площадь лесов в Республике </w:t>
      </w:r>
      <w:r>
        <w:rPr>
          <w:sz w:val="24"/>
          <w:szCs w:val="24"/>
        </w:rPr>
        <w:t xml:space="preserve">Башкортостан составляет 6 307,7 тыс. га. Относительно лесов, расположенных на землях иных категорий, в государственном лесном реестре числятся 144,6 тыс. га таких земель в 36 муниципальных образованиях. </w:t>
      </w:r>
    </w:p>
    <w:p w:rsidR="00E85D42" w:rsidRDefault="008113B9">
      <w:pPr>
        <w:ind w:firstLine="709"/>
        <w:jc w:val="both"/>
        <w:rPr>
          <w:sz w:val="24"/>
          <w:szCs w:val="24"/>
        </w:rPr>
      </w:pPr>
      <w:r>
        <w:rPr>
          <w:sz w:val="24"/>
          <w:szCs w:val="24"/>
        </w:rPr>
        <w:t>В соответствии со статьей 10 Лесного кодекса леса, р</w:t>
      </w:r>
      <w:r>
        <w:rPr>
          <w:sz w:val="24"/>
          <w:szCs w:val="24"/>
        </w:rPr>
        <w:t xml:space="preserve">асположенные на землях лесного фонда, по целевому назначению подразделяются на защитные леса, эксплуатационные леса и резервные леса. </w:t>
      </w:r>
    </w:p>
    <w:p w:rsidR="00E85D42" w:rsidRDefault="008113B9">
      <w:pPr>
        <w:ind w:firstLine="709"/>
        <w:jc w:val="both"/>
        <w:rPr>
          <w:sz w:val="24"/>
          <w:szCs w:val="24"/>
        </w:rPr>
      </w:pPr>
      <w:r>
        <w:rPr>
          <w:sz w:val="24"/>
          <w:szCs w:val="24"/>
        </w:rPr>
        <w:t>К защитным лесам отнесены леса, основными задачами которых являются выполнение: водоохранных, почвозащитных, санитарно–ги</w:t>
      </w:r>
      <w:r>
        <w:rPr>
          <w:sz w:val="24"/>
          <w:szCs w:val="24"/>
        </w:rPr>
        <w:t>гиенических, общекультурных, плодопромысловых и ряда других функций. Кроме того, защитные леса являются источниками запасов спелой и перестойной древесины. Пользование лесом в защитных лесах направлено в первую очередь на укрепление их целевых функций. Пло</w:t>
      </w:r>
      <w:r>
        <w:rPr>
          <w:sz w:val="24"/>
          <w:szCs w:val="24"/>
        </w:rPr>
        <w:t>щадь защитных лесов на землях лесного фонда составляет 1 723,7 тыс. га. К эксплуатационным лесам отнесены леса, которые подлежат освоению в целях устойчивого и эффективного использования лесных ресурсов, в том числе получения высококачественной товарной др</w:t>
      </w:r>
      <w:r>
        <w:rPr>
          <w:sz w:val="24"/>
          <w:szCs w:val="24"/>
        </w:rPr>
        <w:t>евесины и других лесных ресурсов, с сохранением полезных функций лесов. Площадь эксплуатационных лесов Республики Башкортостан на землях лесного фонда составляет   4 024,0 тыс. га.</w:t>
      </w:r>
    </w:p>
    <w:p w:rsidR="00E85D42" w:rsidRDefault="008113B9">
      <w:pPr>
        <w:ind w:firstLine="709"/>
        <w:jc w:val="both"/>
        <w:rPr>
          <w:sz w:val="24"/>
          <w:szCs w:val="24"/>
        </w:rPr>
      </w:pPr>
      <w:r>
        <w:rPr>
          <w:sz w:val="24"/>
          <w:szCs w:val="24"/>
        </w:rPr>
        <w:t>Лесной фонд Республики Башкортостан, составляющий более 1/3 территории, с о</w:t>
      </w:r>
      <w:r>
        <w:rPr>
          <w:sz w:val="24"/>
          <w:szCs w:val="24"/>
        </w:rPr>
        <w:t>бширным гиперпространством экологических факторов, позволяющим сосуществовать разнообразным сообществам от остепненных лиственничников до ольхово-черемуховых уремников, резко отличается от прилегающих территорий разнообразием ландшафтов, обусловленных гори</w:t>
      </w:r>
      <w:r>
        <w:rPr>
          <w:sz w:val="24"/>
          <w:szCs w:val="24"/>
        </w:rPr>
        <w:t>зонтальной зональностью и вертикальной поясностью.</w:t>
      </w:r>
    </w:p>
    <w:p w:rsidR="00E85D42" w:rsidRDefault="008113B9">
      <w:pPr>
        <w:ind w:firstLine="709"/>
        <w:jc w:val="both"/>
        <w:rPr>
          <w:sz w:val="24"/>
          <w:szCs w:val="24"/>
        </w:rPr>
      </w:pPr>
      <w:r>
        <w:rPr>
          <w:sz w:val="24"/>
          <w:szCs w:val="24"/>
        </w:rPr>
        <w:t>Здесь проходят восточные и южные границы многих европейских древесных видов, западные границы сибирских, а также северные границы некоторых степных растений. Несмотря на то, что по своему географическому п</w:t>
      </w:r>
      <w:r>
        <w:rPr>
          <w:sz w:val="24"/>
          <w:szCs w:val="24"/>
        </w:rPr>
        <w:t xml:space="preserve">оложению Республика Башкортостан находится в зонах широколиственных и хвойно-широколиственных лесов, фактическое их распространение не соответствует географическому положению. Полоса степей заходит гораздо дальше на север, чем в других районах европейской </w:t>
      </w:r>
      <w:r>
        <w:rPr>
          <w:sz w:val="24"/>
          <w:szCs w:val="24"/>
        </w:rPr>
        <w:t>части России, а леса Уральскими горами продвинуты вглубь зоны разнотравных степей.</w:t>
      </w:r>
    </w:p>
    <w:p w:rsidR="00E85D42" w:rsidRDefault="008113B9">
      <w:pPr>
        <w:ind w:firstLine="709"/>
        <w:jc w:val="both"/>
        <w:rPr>
          <w:sz w:val="24"/>
          <w:szCs w:val="24"/>
        </w:rPr>
      </w:pPr>
      <w:r>
        <w:rPr>
          <w:sz w:val="24"/>
          <w:szCs w:val="24"/>
        </w:rPr>
        <w:t>Свыше 75% площади представлены горными лесами, выполняющими почвозащитные, водорегулирующие и водоохранные функции.</w:t>
      </w:r>
    </w:p>
    <w:p w:rsidR="00E85D42" w:rsidRDefault="008113B9">
      <w:pPr>
        <w:ind w:firstLine="709"/>
        <w:jc w:val="both"/>
        <w:rPr>
          <w:sz w:val="24"/>
          <w:szCs w:val="24"/>
        </w:rPr>
      </w:pPr>
      <w:r>
        <w:rPr>
          <w:sz w:val="24"/>
          <w:szCs w:val="24"/>
        </w:rPr>
        <w:t xml:space="preserve">Как следствие горизонтальной зональности и вертикальной </w:t>
      </w:r>
      <w:r>
        <w:rPr>
          <w:sz w:val="24"/>
          <w:szCs w:val="24"/>
        </w:rPr>
        <w:t>поясности породный состав лесов представлен светлохвойными, темнохвойными, широколиственными, мелколиственными и смешанными лесами.</w:t>
      </w:r>
    </w:p>
    <w:p w:rsidR="00E85D42" w:rsidRDefault="008113B9">
      <w:pPr>
        <w:ind w:firstLine="709"/>
        <w:jc w:val="both"/>
        <w:rPr>
          <w:sz w:val="24"/>
          <w:szCs w:val="24"/>
        </w:rPr>
      </w:pPr>
      <w:r>
        <w:rPr>
          <w:sz w:val="24"/>
          <w:szCs w:val="24"/>
        </w:rPr>
        <w:t xml:space="preserve">Разнообразие типов условий местопроизрастания и богатый ассортимент древесных пород формирует сложные по составу древостои. </w:t>
      </w:r>
      <w:r>
        <w:rPr>
          <w:sz w:val="24"/>
          <w:szCs w:val="24"/>
        </w:rPr>
        <w:t>Здесь представлены практически все типы лесов, а в живом напочвенном покрове наблюдается обилие и пестрота растительности.</w:t>
      </w:r>
    </w:p>
    <w:p w:rsidR="00E85D42" w:rsidRDefault="008113B9">
      <w:pPr>
        <w:ind w:firstLine="709"/>
        <w:jc w:val="both"/>
        <w:rPr>
          <w:sz w:val="24"/>
          <w:szCs w:val="24"/>
        </w:rPr>
      </w:pPr>
      <w:r>
        <w:rPr>
          <w:sz w:val="24"/>
          <w:szCs w:val="24"/>
        </w:rPr>
        <w:t>Основными лесообразующими породами в светлохвойных лесах являются сосна обыкновенная и лиственница Сукачева, в темнохвойных лесах – е</w:t>
      </w:r>
      <w:r>
        <w:rPr>
          <w:sz w:val="24"/>
          <w:szCs w:val="24"/>
        </w:rPr>
        <w:t>ль сибирская, пихта сибирская, в широколиственных лесах – дуб черешчатый со спутниками и липа мелколистная, в мелколиственных лесах – береза повислая и осина.</w:t>
      </w:r>
    </w:p>
    <w:p w:rsidR="00E85D42" w:rsidRDefault="008113B9">
      <w:pPr>
        <w:ind w:firstLine="709"/>
        <w:jc w:val="both"/>
        <w:rPr>
          <w:sz w:val="24"/>
          <w:szCs w:val="24"/>
        </w:rPr>
      </w:pPr>
      <w:r>
        <w:rPr>
          <w:sz w:val="24"/>
          <w:szCs w:val="24"/>
        </w:rPr>
        <w:t>В центральной части Южного Урала и на восточных склонах преобладают сосновые, сосново-березовые л</w:t>
      </w:r>
      <w:r>
        <w:rPr>
          <w:sz w:val="24"/>
          <w:szCs w:val="24"/>
        </w:rPr>
        <w:t>еса. На западных склонах Урала эти леса уступают место широколиственным лесам.</w:t>
      </w:r>
    </w:p>
    <w:p w:rsidR="00E85D42" w:rsidRDefault="008113B9">
      <w:pPr>
        <w:ind w:firstLine="709"/>
        <w:jc w:val="both"/>
        <w:rPr>
          <w:sz w:val="24"/>
          <w:szCs w:val="24"/>
        </w:rPr>
      </w:pPr>
      <w:r>
        <w:rPr>
          <w:sz w:val="24"/>
          <w:szCs w:val="24"/>
        </w:rPr>
        <w:t>Лесистость территории Республики Башкортостан составляет 39,9% при весьма значительном колебании этого показателя 6,2–9,1% (остепняющиеся районы – Давлекановский, Стерлитамакски</w:t>
      </w:r>
      <w:r>
        <w:rPr>
          <w:sz w:val="24"/>
          <w:szCs w:val="24"/>
        </w:rPr>
        <w:t>й, Благоварский и Куюргазинский) до 81,2–92,0% (горно-лесная зона – Белорецкий район).</w:t>
      </w:r>
    </w:p>
    <w:p w:rsidR="00E85D42" w:rsidRDefault="008113B9">
      <w:pPr>
        <w:ind w:firstLine="709"/>
        <w:jc w:val="both"/>
        <w:rPr>
          <w:sz w:val="24"/>
          <w:szCs w:val="24"/>
        </w:rPr>
      </w:pPr>
      <w:r>
        <w:rPr>
          <w:sz w:val="24"/>
          <w:szCs w:val="24"/>
        </w:rPr>
        <w:t>В Республики Башкортостан имеется 31 лесничество, схема расположения которых представлена на Рисунке 3.1.2.1.</w:t>
      </w:r>
    </w:p>
    <w:p w:rsidR="00E85D42" w:rsidRDefault="008113B9">
      <w:pPr>
        <w:spacing w:after="200" w:line="276" w:lineRule="auto"/>
        <w:jc w:val="center"/>
      </w:pPr>
      <w:r>
        <w:rPr>
          <w:rFonts w:ascii="Calibri" w:eastAsia="Calibri" w:hAnsi="Calibri"/>
          <w:noProof/>
          <w:sz w:val="22"/>
          <w:szCs w:val="22"/>
        </w:rPr>
        <w:drawing>
          <wp:inline distT="0" distB="0" distL="0" distR="0">
            <wp:extent cx="5731559" cy="7045918"/>
            <wp:effectExtent l="0" t="0" r="2491" b="2582"/>
            <wp:docPr id="46"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lum/>
                      <a:alphaModFix/>
                    </a:blip>
                    <a:srcRect/>
                    <a:stretch>
                      <a:fillRect/>
                    </a:stretch>
                  </pic:blipFill>
                  <pic:spPr>
                    <a:xfrm>
                      <a:off x="0" y="0"/>
                      <a:ext cx="5731559" cy="7045918"/>
                    </a:xfrm>
                    <a:prstGeom prst="rect">
                      <a:avLst/>
                    </a:prstGeom>
                    <a:noFill/>
                    <a:ln>
                      <a:noFill/>
                      <a:prstDash/>
                    </a:ln>
                  </pic:spPr>
                </pic:pic>
              </a:graphicData>
            </a:graphic>
          </wp:inline>
        </w:drawing>
      </w:r>
    </w:p>
    <w:p w:rsidR="00E85D42" w:rsidRDefault="008113B9">
      <w:pPr>
        <w:spacing w:after="120" w:line="288" w:lineRule="auto"/>
        <w:jc w:val="center"/>
      </w:pPr>
      <w:r>
        <w:rPr>
          <w:kern w:val="3"/>
          <w:sz w:val="24"/>
          <w:szCs w:val="24"/>
        </w:rPr>
        <w:t xml:space="preserve">Рисунок 3.1.2.1. </w:t>
      </w:r>
      <w:r>
        <w:rPr>
          <w:kern w:val="3"/>
          <w:sz w:val="24"/>
          <w:szCs w:val="24"/>
          <w:lang w:eastAsia="zh-CN"/>
        </w:rPr>
        <w:t>Распределение лесничеств Республики Башк</w:t>
      </w:r>
      <w:r>
        <w:rPr>
          <w:kern w:val="3"/>
          <w:sz w:val="24"/>
          <w:szCs w:val="24"/>
          <w:lang w:eastAsia="zh-CN"/>
        </w:rPr>
        <w:t>ортостан</w:t>
      </w:r>
    </w:p>
    <w:p w:rsidR="00E85D42" w:rsidRDefault="00E85D42">
      <w:pPr>
        <w:spacing w:line="288" w:lineRule="auto"/>
        <w:ind w:firstLine="709"/>
        <w:jc w:val="both"/>
        <w:rPr>
          <w:kern w:val="3"/>
          <w:sz w:val="24"/>
          <w:szCs w:val="24"/>
          <w:u w:val="single"/>
        </w:rPr>
      </w:pPr>
    </w:p>
    <w:p w:rsidR="00E85D42" w:rsidRDefault="008113B9">
      <w:pPr>
        <w:spacing w:line="288" w:lineRule="auto"/>
        <w:ind w:firstLine="709"/>
        <w:jc w:val="both"/>
        <w:rPr>
          <w:kern w:val="3"/>
          <w:sz w:val="24"/>
          <w:szCs w:val="24"/>
          <w:u w:val="single"/>
        </w:rPr>
      </w:pPr>
      <w:r>
        <w:rPr>
          <w:kern w:val="3"/>
          <w:sz w:val="24"/>
          <w:szCs w:val="24"/>
          <w:u w:val="single"/>
        </w:rPr>
        <w:t>Район хвойно-широколиственных лесов европейской части Российской Федерации.</w:t>
      </w:r>
    </w:p>
    <w:p w:rsidR="00E85D42" w:rsidRDefault="008113B9">
      <w:pPr>
        <w:ind w:firstLine="709"/>
        <w:jc w:val="both"/>
        <w:rPr>
          <w:sz w:val="24"/>
          <w:szCs w:val="24"/>
        </w:rPr>
      </w:pPr>
      <w:r>
        <w:rPr>
          <w:sz w:val="24"/>
          <w:szCs w:val="24"/>
        </w:rPr>
        <w:t>Район включает 4 лесничества: Аскинское (часть), Бирское (часть), Дюртюлинское и Янаульское. Общая площадь земель лесного фонда составляет 6,5% от общей площади лесов, ра</w:t>
      </w:r>
      <w:r>
        <w:rPr>
          <w:sz w:val="24"/>
          <w:szCs w:val="24"/>
        </w:rPr>
        <w:t xml:space="preserve">сположенных на землях лесного фонда. </w:t>
      </w:r>
    </w:p>
    <w:p w:rsidR="00E85D42" w:rsidRDefault="008113B9">
      <w:pPr>
        <w:ind w:firstLine="709"/>
        <w:jc w:val="both"/>
        <w:rPr>
          <w:sz w:val="24"/>
          <w:szCs w:val="24"/>
        </w:rPr>
      </w:pPr>
      <w:r>
        <w:rPr>
          <w:sz w:val="24"/>
          <w:szCs w:val="24"/>
        </w:rPr>
        <w:t>Площадь защитных лесов составляет 60,9%. Запас древесины составляет всего 6,0% от общего запаса древесины лесного фонда.</w:t>
      </w:r>
    </w:p>
    <w:p w:rsidR="00E85D42" w:rsidRDefault="008113B9">
      <w:pPr>
        <w:ind w:firstLine="709"/>
        <w:jc w:val="both"/>
        <w:rPr>
          <w:sz w:val="24"/>
          <w:szCs w:val="24"/>
        </w:rPr>
      </w:pPr>
      <w:r>
        <w:rPr>
          <w:sz w:val="24"/>
          <w:szCs w:val="24"/>
        </w:rPr>
        <w:t>Район относится к промышленно-развитым регионам.</w:t>
      </w:r>
    </w:p>
    <w:p w:rsidR="00E85D42" w:rsidRDefault="008113B9">
      <w:pPr>
        <w:spacing w:line="288" w:lineRule="auto"/>
        <w:ind w:firstLine="709"/>
        <w:jc w:val="both"/>
        <w:rPr>
          <w:kern w:val="3"/>
          <w:sz w:val="24"/>
          <w:szCs w:val="24"/>
          <w:u w:val="single"/>
        </w:rPr>
      </w:pPr>
      <w:r>
        <w:rPr>
          <w:kern w:val="3"/>
          <w:sz w:val="24"/>
          <w:szCs w:val="24"/>
          <w:u w:val="single"/>
        </w:rPr>
        <w:t>Лесостепной район европейской части РФ</w:t>
      </w:r>
    </w:p>
    <w:p w:rsidR="00E85D42" w:rsidRDefault="008113B9">
      <w:pPr>
        <w:ind w:firstLine="709"/>
        <w:jc w:val="both"/>
        <w:rPr>
          <w:sz w:val="24"/>
          <w:szCs w:val="24"/>
        </w:rPr>
      </w:pPr>
      <w:r>
        <w:rPr>
          <w:sz w:val="24"/>
          <w:szCs w:val="24"/>
        </w:rPr>
        <w:t xml:space="preserve">В состав </w:t>
      </w:r>
      <w:r>
        <w:rPr>
          <w:sz w:val="24"/>
          <w:szCs w:val="24"/>
        </w:rPr>
        <w:t>района входят: Альшеевское, Архангельское (часть), Белебеевское, Бирское (часть), Стерлитамакское (часть), Туймазинское и Уфимское (часть) лесничества. Общая площадь земель лесного фонда составляет 11,5% от общей площади земель лесного фонда республики. Пл</w:t>
      </w:r>
      <w:r>
        <w:rPr>
          <w:sz w:val="24"/>
          <w:szCs w:val="24"/>
        </w:rPr>
        <w:t>ощадь защитных лесов составляет чуть меньше половины лесного фонда района (48,3%). Общий запас древесины составляет всего 10,7% от общего запаса древесины лесного фонда республики). Наиболее развитый в промышленном и сельскохозяйственном отношении район.</w:t>
      </w:r>
    </w:p>
    <w:p w:rsidR="00E85D42" w:rsidRDefault="008113B9">
      <w:pPr>
        <w:spacing w:line="288" w:lineRule="auto"/>
        <w:ind w:firstLine="709"/>
        <w:jc w:val="both"/>
        <w:rPr>
          <w:kern w:val="3"/>
          <w:sz w:val="24"/>
          <w:szCs w:val="24"/>
          <w:u w:val="single"/>
        </w:rPr>
      </w:pPr>
      <w:r>
        <w:rPr>
          <w:kern w:val="3"/>
          <w:sz w:val="24"/>
          <w:szCs w:val="24"/>
          <w:u w:val="single"/>
        </w:rPr>
        <w:t>Ю</w:t>
      </w:r>
      <w:r>
        <w:rPr>
          <w:kern w:val="3"/>
          <w:sz w:val="24"/>
          <w:szCs w:val="24"/>
          <w:u w:val="single"/>
        </w:rPr>
        <w:t>жно-Уральский лесостепной район</w:t>
      </w:r>
    </w:p>
    <w:p w:rsidR="00E85D42" w:rsidRDefault="008113B9">
      <w:pPr>
        <w:ind w:firstLine="709"/>
        <w:jc w:val="both"/>
        <w:rPr>
          <w:sz w:val="24"/>
          <w:szCs w:val="24"/>
        </w:rPr>
      </w:pPr>
      <w:r>
        <w:rPr>
          <w:sz w:val="24"/>
          <w:szCs w:val="24"/>
        </w:rPr>
        <w:t>В состав района входят следующие лесничества: Абзелиловское, Авзянское, Архангельское (часть), Аскинское (часть), Баймакское, Белокатайское, Белорецкое, Бирское (часть), Бурзянское, Гафурийское, Дуванское, Зианчуринское, Зил</w:t>
      </w:r>
      <w:r>
        <w:rPr>
          <w:sz w:val="24"/>
          <w:szCs w:val="24"/>
        </w:rPr>
        <w:t>аирское, Иглинское, Инзерское, Кананикольское, Караидельское, Кугарчинское, Макаровское, Нуримановское, Салаватское, Стерлитамакское (часть), Тирлянское, Учалинское, Уфимское (часть), Хайбуллинское. Общая площадь земель лесного фонда района составляет 82,0</w:t>
      </w:r>
      <w:r>
        <w:rPr>
          <w:sz w:val="24"/>
          <w:szCs w:val="24"/>
        </w:rPr>
        <w:t>% от общей площади земель лесного фонда республики. Защитных лесов здесь около одной трети (27,0%). Основной запас древесины лесного фонда республики сосредоточен в этом районе (83,5%).</w:t>
      </w:r>
    </w:p>
    <w:p w:rsidR="00E85D42" w:rsidRDefault="008113B9">
      <w:pPr>
        <w:ind w:firstLine="709"/>
        <w:jc w:val="both"/>
        <w:rPr>
          <w:sz w:val="24"/>
          <w:szCs w:val="24"/>
        </w:rPr>
      </w:pPr>
      <w:r>
        <w:rPr>
          <w:sz w:val="24"/>
          <w:szCs w:val="24"/>
        </w:rPr>
        <w:t>Район относится к регионам с развитой промышленностью, включая и лесну</w:t>
      </w:r>
      <w:r>
        <w:rPr>
          <w:sz w:val="24"/>
          <w:szCs w:val="24"/>
        </w:rPr>
        <w:t>ю промышленность, и агропромышленным комплексом.</w:t>
      </w:r>
    </w:p>
    <w:p w:rsidR="00E85D42" w:rsidRDefault="00E85D42">
      <w:pPr>
        <w:ind w:firstLine="709"/>
        <w:jc w:val="both"/>
        <w:rPr>
          <w:sz w:val="24"/>
          <w:szCs w:val="24"/>
        </w:rPr>
      </w:pPr>
    </w:p>
    <w:p w:rsidR="00E85D42" w:rsidRDefault="008113B9">
      <w:pPr>
        <w:ind w:firstLine="709"/>
        <w:jc w:val="both"/>
        <w:rPr>
          <w:i/>
          <w:sz w:val="24"/>
          <w:szCs w:val="24"/>
        </w:rPr>
      </w:pPr>
      <w:r>
        <w:rPr>
          <w:i/>
          <w:sz w:val="24"/>
          <w:szCs w:val="24"/>
        </w:rPr>
        <w:t>Леса, расположенные на землях населенных пунктов</w:t>
      </w:r>
    </w:p>
    <w:p w:rsidR="00E85D42" w:rsidRDefault="008113B9">
      <w:pPr>
        <w:ind w:firstLine="709"/>
        <w:jc w:val="both"/>
        <w:rPr>
          <w:sz w:val="24"/>
          <w:szCs w:val="24"/>
        </w:rPr>
      </w:pPr>
      <w:r>
        <w:rPr>
          <w:sz w:val="24"/>
          <w:szCs w:val="24"/>
        </w:rPr>
        <w:t xml:space="preserve">По целевому назначению леса, расположенные на землях населённых пунктов, отнесены к категории защитных лесов. По функциональному назначению они относятся к </w:t>
      </w:r>
      <w:r>
        <w:rPr>
          <w:sz w:val="24"/>
          <w:szCs w:val="24"/>
        </w:rPr>
        <w:t>лесам рекреационного назначения. Земли населенных пунктов, на которых расположены леса, занимают 29 204 га. Наибольшую площадь из этой категории занимает Уфимское городское лесничество (21 767 га). Городские леса городского округа город Уфа Республики Башк</w:t>
      </w:r>
      <w:r>
        <w:rPr>
          <w:sz w:val="24"/>
          <w:szCs w:val="24"/>
        </w:rPr>
        <w:t xml:space="preserve">ортостан находятся в ведении Управления коммунального хозяйства и благоустройства Администрации городского округа город Уфа Республики Башкортостан (УКХиБ Администрации ГО г. Уфа). </w:t>
      </w:r>
    </w:p>
    <w:p w:rsidR="00E85D42" w:rsidRDefault="00E85D42">
      <w:pPr>
        <w:jc w:val="both"/>
        <w:rPr>
          <w:sz w:val="24"/>
          <w:szCs w:val="24"/>
        </w:rPr>
      </w:pPr>
    </w:p>
    <w:p w:rsidR="00E85D42" w:rsidRDefault="008113B9">
      <w:pPr>
        <w:ind w:firstLine="709"/>
        <w:jc w:val="center"/>
      </w:pPr>
      <w:r>
        <w:rPr>
          <w:b/>
          <w:sz w:val="24"/>
          <w:szCs w:val="24"/>
        </w:rPr>
        <w:t>3.1.3. Социально-экономическое положение Республики Башкортостан</w:t>
      </w:r>
      <w:r>
        <w:rPr>
          <w:b/>
          <w:sz w:val="24"/>
          <w:szCs w:val="24"/>
          <w:vertAlign w:val="superscript"/>
        </w:rPr>
        <w:footnoteReference w:id="9"/>
      </w:r>
    </w:p>
    <w:p w:rsidR="00E85D42" w:rsidRDefault="00E85D42">
      <w:pPr>
        <w:ind w:firstLine="709"/>
        <w:jc w:val="center"/>
        <w:rPr>
          <w:sz w:val="24"/>
          <w:szCs w:val="24"/>
        </w:rPr>
      </w:pPr>
    </w:p>
    <w:p w:rsidR="00E85D42" w:rsidRDefault="008113B9">
      <w:pPr>
        <w:ind w:firstLine="709"/>
        <w:jc w:val="both"/>
        <w:rPr>
          <w:sz w:val="24"/>
          <w:szCs w:val="24"/>
        </w:rPr>
      </w:pPr>
      <w:r>
        <w:rPr>
          <w:sz w:val="24"/>
          <w:szCs w:val="24"/>
        </w:rPr>
        <w:t>Основные показатели соци</w:t>
      </w:r>
      <w:r>
        <w:rPr>
          <w:sz w:val="24"/>
          <w:szCs w:val="24"/>
        </w:rPr>
        <w:t>ально-экономического развития Республики Башкортостан, характеризующие итоги января-декабря 2018г., приведены ниже:</w:t>
      </w: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E85D42">
      <w:pPr>
        <w:ind w:firstLine="709"/>
        <w:jc w:val="right"/>
        <w:rPr>
          <w:sz w:val="24"/>
          <w:szCs w:val="24"/>
        </w:rPr>
      </w:pPr>
    </w:p>
    <w:p w:rsidR="00E85D42" w:rsidRDefault="008113B9">
      <w:pPr>
        <w:ind w:firstLine="709"/>
        <w:jc w:val="right"/>
      </w:pPr>
      <w:r>
        <w:rPr>
          <w:sz w:val="24"/>
          <w:szCs w:val="24"/>
        </w:rPr>
        <w:t>Таблица 3.1.3.1</w:t>
      </w:r>
    </w:p>
    <w:p w:rsidR="00E85D42" w:rsidRDefault="008113B9">
      <w:pPr>
        <w:jc w:val="both"/>
      </w:pPr>
      <w:r>
        <w:rPr>
          <w:noProof/>
          <w:sz w:val="24"/>
          <w:szCs w:val="24"/>
        </w:rPr>
        <w:drawing>
          <wp:inline distT="0" distB="0" distL="0" distR="0">
            <wp:extent cx="6145307" cy="7082704"/>
            <wp:effectExtent l="0" t="0" r="7843" b="3896"/>
            <wp:docPr id="47" name="Рисунок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6145307" cy="7082704"/>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 xml:space="preserve">В 2018 году социально-экономическое положение Республики Башкортостан характеризовалось ростом объемов </w:t>
      </w:r>
      <w:r>
        <w:rPr>
          <w:sz w:val="24"/>
          <w:szCs w:val="24"/>
        </w:rPr>
        <w:t>промышленного производства, оборота розничной торговли, увеличением номинальной и реальной заработной платы, снижением безработицы и низким уровнем инфляции.</w:t>
      </w:r>
    </w:p>
    <w:p w:rsidR="00E85D42" w:rsidRDefault="008113B9">
      <w:pPr>
        <w:ind w:firstLine="709"/>
        <w:jc w:val="both"/>
        <w:rPr>
          <w:sz w:val="24"/>
          <w:szCs w:val="24"/>
        </w:rPr>
      </w:pPr>
      <w:r>
        <w:rPr>
          <w:sz w:val="24"/>
          <w:szCs w:val="24"/>
        </w:rPr>
        <w:t>Индекс производства по виду деятельности «Добыча полезных ископаемых» в декабре 2018 года по сравн</w:t>
      </w:r>
      <w:r>
        <w:rPr>
          <w:sz w:val="24"/>
          <w:szCs w:val="24"/>
        </w:rPr>
        <w:t>ению с аналогичным месяцем предыдущего года составил 111,4%, за январь-декабрь 2018 года – 109,4% к соответствующему периоду прошлого года</w:t>
      </w:r>
    </w:p>
    <w:p w:rsidR="00E85D42" w:rsidRDefault="008113B9">
      <w:pPr>
        <w:ind w:firstLine="709"/>
        <w:jc w:val="both"/>
        <w:rPr>
          <w:sz w:val="24"/>
          <w:szCs w:val="24"/>
        </w:rPr>
      </w:pPr>
      <w:r>
        <w:rPr>
          <w:sz w:val="24"/>
          <w:szCs w:val="24"/>
        </w:rPr>
        <w:t>Индекс производства по виду деятельности «Обрабатывающие производства» в декабре 2018 года по сравнению с аналогичным</w:t>
      </w:r>
      <w:r>
        <w:rPr>
          <w:sz w:val="24"/>
          <w:szCs w:val="24"/>
        </w:rPr>
        <w:t xml:space="preserve"> месяцем предыдущего года составил 105,9%, за январь-декабрь 2018 года – 100,5% к соответствующему периоду прошлого года</w:t>
      </w:r>
    </w:p>
    <w:p w:rsidR="00E85D42" w:rsidRDefault="008113B9">
      <w:pPr>
        <w:ind w:firstLine="709"/>
        <w:jc w:val="both"/>
        <w:rPr>
          <w:sz w:val="24"/>
          <w:szCs w:val="24"/>
        </w:rPr>
      </w:pPr>
      <w:r>
        <w:rPr>
          <w:sz w:val="24"/>
          <w:szCs w:val="24"/>
        </w:rPr>
        <w:t xml:space="preserve">Индекс производства по виду деятельности «Обеспечение электрической энергией, газом и паром; кондиционирование воздуха» в декабре 2018 </w:t>
      </w:r>
      <w:r>
        <w:rPr>
          <w:sz w:val="24"/>
          <w:szCs w:val="24"/>
        </w:rPr>
        <w:t>года по сравнению с аналогичным месяцем предыдущего года составил 107,5%, за январь-декабрь 2018 года – 103,4% к соответствующему периоду прошлого года</w:t>
      </w:r>
    </w:p>
    <w:p w:rsidR="00E85D42" w:rsidRDefault="008113B9">
      <w:pPr>
        <w:ind w:firstLine="709"/>
        <w:jc w:val="both"/>
        <w:rPr>
          <w:sz w:val="24"/>
          <w:szCs w:val="24"/>
        </w:rPr>
      </w:pPr>
      <w:r>
        <w:rPr>
          <w:sz w:val="24"/>
          <w:szCs w:val="24"/>
        </w:rPr>
        <w:t>Оборот розничной торговли в декабре 2018 года по сравнению с аналогичным месяцем предыдущего года состав</w:t>
      </w:r>
      <w:r>
        <w:rPr>
          <w:sz w:val="24"/>
          <w:szCs w:val="24"/>
        </w:rPr>
        <w:t>ил 102,8%, за январь-декабрь 2018 года – 102,6% к соответствующему периоду прошлого года</w:t>
      </w:r>
    </w:p>
    <w:p w:rsidR="00E85D42" w:rsidRDefault="008113B9">
      <w:pPr>
        <w:ind w:firstLine="709"/>
        <w:jc w:val="both"/>
        <w:rPr>
          <w:sz w:val="24"/>
          <w:szCs w:val="24"/>
        </w:rPr>
      </w:pPr>
      <w:r>
        <w:rPr>
          <w:sz w:val="24"/>
          <w:szCs w:val="24"/>
        </w:rPr>
        <w:t>Оборот общественного питания в декабре 2018 года по сравнению с аналогичным месяцем предыдущего года составил 101,1%, за январь-декабрь 2018 года – 100,4% к соответств</w:t>
      </w:r>
      <w:r>
        <w:rPr>
          <w:sz w:val="24"/>
          <w:szCs w:val="24"/>
        </w:rPr>
        <w:t>ующему периоду прошлого года</w:t>
      </w:r>
    </w:p>
    <w:p w:rsidR="00E85D42" w:rsidRDefault="008113B9">
      <w:pPr>
        <w:ind w:firstLine="709"/>
        <w:jc w:val="both"/>
        <w:rPr>
          <w:sz w:val="24"/>
          <w:szCs w:val="24"/>
        </w:rPr>
      </w:pPr>
      <w:r>
        <w:rPr>
          <w:sz w:val="24"/>
          <w:szCs w:val="24"/>
        </w:rPr>
        <w:t>Объем платных услуг населению в декабре 2018 года по сравнению с аналогичным месяцем предыдущего года составил 100,2%, за январь-декабрь 2018 года – 100,2% к соответствующему периоду прошлого года</w:t>
      </w:r>
    </w:p>
    <w:p w:rsidR="00E85D42" w:rsidRDefault="008113B9">
      <w:pPr>
        <w:ind w:firstLine="709"/>
        <w:jc w:val="both"/>
        <w:rPr>
          <w:sz w:val="24"/>
          <w:szCs w:val="24"/>
        </w:rPr>
      </w:pPr>
      <w:r>
        <w:rPr>
          <w:sz w:val="24"/>
          <w:szCs w:val="24"/>
        </w:rPr>
        <w:t>Численность безработных, зарег</w:t>
      </w:r>
      <w:r>
        <w:rPr>
          <w:sz w:val="24"/>
          <w:szCs w:val="24"/>
        </w:rPr>
        <w:t>истрированных в органах службы занятости в декабре 2018 года по сравнению с аналогичным месяцем предыдущего года составил 94,8%</w:t>
      </w:r>
    </w:p>
    <w:p w:rsidR="00E85D42" w:rsidRDefault="008113B9">
      <w:pPr>
        <w:ind w:firstLine="709"/>
        <w:jc w:val="both"/>
        <w:rPr>
          <w:sz w:val="24"/>
          <w:szCs w:val="24"/>
        </w:rPr>
      </w:pPr>
      <w:r>
        <w:rPr>
          <w:sz w:val="24"/>
          <w:szCs w:val="24"/>
        </w:rPr>
        <w:t>Число зарегистрированных преступлений в декабре 2018 года по сравнению с аналогичным месяцем предыдущего года составил 85,2%.</w:t>
      </w:r>
    </w:p>
    <w:p w:rsidR="00E85D42" w:rsidRDefault="008113B9">
      <w:pPr>
        <w:spacing w:line="360" w:lineRule="auto"/>
        <w:jc w:val="center"/>
      </w:pPr>
      <w:r>
        <w:rPr>
          <w:noProof/>
          <w:sz w:val="24"/>
          <w:szCs w:val="24"/>
        </w:rPr>
        <w:drawing>
          <wp:inline distT="0" distB="0" distL="0" distR="0">
            <wp:extent cx="5940427" cy="3269610"/>
            <wp:effectExtent l="0" t="0" r="3173" b="6990"/>
            <wp:docPr id="48" name="Рисунок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40427" cy="3269610"/>
                    </a:xfrm>
                    <a:prstGeom prst="rect">
                      <a:avLst/>
                    </a:prstGeom>
                    <a:noFill/>
                    <a:ln>
                      <a:noFill/>
                      <a:prstDash/>
                    </a:ln>
                  </pic:spPr>
                </pic:pic>
              </a:graphicData>
            </a:graphic>
          </wp:inline>
        </w:drawing>
      </w:r>
      <w:r>
        <w:rPr>
          <w:i/>
          <w:sz w:val="24"/>
          <w:szCs w:val="24"/>
        </w:rPr>
        <w:t>Д</w:t>
      </w:r>
      <w:r>
        <w:rPr>
          <w:i/>
          <w:sz w:val="24"/>
          <w:szCs w:val="24"/>
        </w:rPr>
        <w:t>иаграмма 3.1.3.1</w:t>
      </w:r>
    </w:p>
    <w:p w:rsidR="00E85D42" w:rsidRDefault="00E85D42">
      <w:pPr>
        <w:spacing w:line="360" w:lineRule="auto"/>
        <w:jc w:val="both"/>
        <w:rPr>
          <w:sz w:val="24"/>
          <w:szCs w:val="24"/>
        </w:rPr>
      </w:pPr>
    </w:p>
    <w:p w:rsidR="00E85D42" w:rsidRDefault="00E85D42">
      <w:pPr>
        <w:ind w:firstLine="709"/>
        <w:jc w:val="center"/>
        <w:rPr>
          <w:b/>
          <w:i/>
          <w:sz w:val="24"/>
          <w:szCs w:val="24"/>
        </w:rPr>
      </w:pPr>
    </w:p>
    <w:p w:rsidR="00E85D42" w:rsidRDefault="00E85D42">
      <w:pPr>
        <w:ind w:firstLine="709"/>
        <w:jc w:val="center"/>
        <w:rPr>
          <w:b/>
          <w:i/>
          <w:sz w:val="24"/>
          <w:szCs w:val="24"/>
        </w:rPr>
      </w:pPr>
    </w:p>
    <w:p w:rsidR="00E85D42" w:rsidRDefault="00E85D42">
      <w:pPr>
        <w:ind w:firstLine="709"/>
        <w:jc w:val="center"/>
        <w:rPr>
          <w:b/>
          <w:i/>
          <w:sz w:val="24"/>
          <w:szCs w:val="24"/>
        </w:rPr>
      </w:pPr>
    </w:p>
    <w:p w:rsidR="00E85D42" w:rsidRDefault="00E85D42">
      <w:pPr>
        <w:ind w:firstLine="709"/>
        <w:jc w:val="center"/>
        <w:rPr>
          <w:b/>
          <w:i/>
          <w:sz w:val="24"/>
          <w:szCs w:val="24"/>
        </w:rPr>
      </w:pPr>
    </w:p>
    <w:p w:rsidR="00E85D42" w:rsidRDefault="00E85D42">
      <w:pPr>
        <w:ind w:firstLine="709"/>
        <w:jc w:val="center"/>
        <w:rPr>
          <w:b/>
          <w:i/>
          <w:sz w:val="24"/>
          <w:szCs w:val="24"/>
        </w:rPr>
      </w:pPr>
    </w:p>
    <w:p w:rsidR="00E85D42" w:rsidRDefault="00E85D42">
      <w:pPr>
        <w:ind w:firstLine="709"/>
        <w:jc w:val="center"/>
        <w:rPr>
          <w:b/>
          <w:i/>
          <w:sz w:val="24"/>
          <w:szCs w:val="24"/>
        </w:rPr>
      </w:pPr>
    </w:p>
    <w:p w:rsidR="00E85D42" w:rsidRDefault="00E85D42">
      <w:pPr>
        <w:ind w:firstLine="709"/>
        <w:jc w:val="center"/>
        <w:rPr>
          <w:b/>
          <w:i/>
          <w:sz w:val="24"/>
          <w:szCs w:val="24"/>
        </w:rPr>
      </w:pPr>
    </w:p>
    <w:p w:rsidR="00E85D42" w:rsidRDefault="00E85D42">
      <w:pPr>
        <w:ind w:firstLine="709"/>
        <w:jc w:val="center"/>
        <w:rPr>
          <w:b/>
          <w:i/>
          <w:sz w:val="24"/>
          <w:szCs w:val="24"/>
        </w:rPr>
      </w:pPr>
    </w:p>
    <w:p w:rsidR="00E85D42" w:rsidRDefault="008113B9">
      <w:pPr>
        <w:ind w:firstLine="709"/>
        <w:jc w:val="center"/>
        <w:rPr>
          <w:b/>
          <w:i/>
          <w:sz w:val="24"/>
          <w:szCs w:val="24"/>
        </w:rPr>
      </w:pPr>
      <w:r>
        <w:rPr>
          <w:b/>
          <w:i/>
          <w:sz w:val="24"/>
          <w:szCs w:val="24"/>
        </w:rPr>
        <w:t>Реальный сектор экономики.</w:t>
      </w:r>
    </w:p>
    <w:p w:rsidR="00E85D42" w:rsidRDefault="008113B9">
      <w:pPr>
        <w:ind w:firstLine="709"/>
        <w:jc w:val="both"/>
        <w:rPr>
          <w:b/>
          <w:i/>
          <w:sz w:val="24"/>
          <w:szCs w:val="24"/>
        </w:rPr>
      </w:pPr>
      <w:r>
        <w:rPr>
          <w:b/>
          <w:i/>
          <w:sz w:val="24"/>
          <w:szCs w:val="24"/>
        </w:rPr>
        <w:t>Промышленность</w:t>
      </w:r>
    </w:p>
    <w:p w:rsidR="00E85D42" w:rsidRDefault="008113B9">
      <w:pPr>
        <w:spacing w:line="360" w:lineRule="auto"/>
        <w:jc w:val="center"/>
      </w:pPr>
      <w:r>
        <w:rPr>
          <w:noProof/>
          <w:sz w:val="24"/>
          <w:szCs w:val="24"/>
        </w:rPr>
        <w:drawing>
          <wp:inline distT="0" distB="0" distL="0" distR="0">
            <wp:extent cx="5940427" cy="2957197"/>
            <wp:effectExtent l="0" t="0" r="3173" b="0"/>
            <wp:docPr id="49" name="Рисунок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40427" cy="2957197"/>
                    </a:xfrm>
                    <a:prstGeom prst="rect">
                      <a:avLst/>
                    </a:prstGeom>
                    <a:noFill/>
                    <a:ln>
                      <a:noFill/>
                      <a:prstDash/>
                    </a:ln>
                  </pic:spPr>
                </pic:pic>
              </a:graphicData>
            </a:graphic>
          </wp:inline>
        </w:drawing>
      </w:r>
      <w:r>
        <w:rPr>
          <w:i/>
          <w:sz w:val="24"/>
          <w:szCs w:val="24"/>
        </w:rPr>
        <w:t>Диаграмма 3.1.3.2</w:t>
      </w:r>
    </w:p>
    <w:p w:rsidR="00E85D42" w:rsidRDefault="008113B9">
      <w:pPr>
        <w:ind w:firstLine="709"/>
        <w:jc w:val="both"/>
        <w:rPr>
          <w:sz w:val="24"/>
          <w:szCs w:val="24"/>
        </w:rPr>
      </w:pPr>
      <w:r>
        <w:rPr>
          <w:sz w:val="24"/>
          <w:szCs w:val="24"/>
        </w:rPr>
        <w:t>По данным Башкортостанстата, за январь-декабрь 2018 года объем отгруженных товаров промышленных видов экономической деятельности (добыча полезных ископаемых, обрабатываю</w:t>
      </w:r>
      <w:r>
        <w:rPr>
          <w:sz w:val="24"/>
          <w:szCs w:val="24"/>
        </w:rPr>
        <w:t>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 оценивается в 1734,0 млрд. рублей или 70,5% в сум</w:t>
      </w:r>
      <w:r>
        <w:rPr>
          <w:sz w:val="24"/>
          <w:szCs w:val="24"/>
        </w:rPr>
        <w:t>марном объеме отгруженных товаров республики.</w:t>
      </w:r>
    </w:p>
    <w:p w:rsidR="00E85D42" w:rsidRDefault="008113B9">
      <w:pPr>
        <w:ind w:firstLine="709"/>
        <w:jc w:val="both"/>
        <w:rPr>
          <w:sz w:val="24"/>
          <w:szCs w:val="24"/>
        </w:rPr>
      </w:pPr>
      <w:r>
        <w:rPr>
          <w:sz w:val="24"/>
          <w:szCs w:val="24"/>
        </w:rPr>
        <w:t>По сравнению с предыдущим годом объем отгруженных товаров промышленных предприятий вырос на 18,1%.</w:t>
      </w:r>
    </w:p>
    <w:p w:rsidR="00E85D42" w:rsidRDefault="008113B9">
      <w:pPr>
        <w:ind w:firstLine="709"/>
        <w:jc w:val="both"/>
        <w:rPr>
          <w:sz w:val="24"/>
          <w:szCs w:val="24"/>
        </w:rPr>
      </w:pPr>
      <w:r>
        <w:rPr>
          <w:sz w:val="24"/>
          <w:szCs w:val="24"/>
        </w:rPr>
        <w:t>Рост в обрабатывающих производствах составил 19,1%, в структуре объема отгруженных товаров промышленных организ</w:t>
      </w:r>
      <w:r>
        <w:rPr>
          <w:sz w:val="24"/>
          <w:szCs w:val="24"/>
        </w:rPr>
        <w:t>аций доля обрабатывающих производств выросла до 75,0%.</w:t>
      </w:r>
    </w:p>
    <w:p w:rsidR="00E85D42" w:rsidRDefault="008113B9">
      <w:pPr>
        <w:ind w:firstLine="709"/>
        <w:jc w:val="both"/>
        <w:rPr>
          <w:sz w:val="24"/>
          <w:szCs w:val="24"/>
        </w:rPr>
      </w:pPr>
      <w:r>
        <w:rPr>
          <w:sz w:val="24"/>
          <w:szCs w:val="24"/>
        </w:rPr>
        <w:t xml:space="preserve">Удельный вес объема промышленной продукции по виду деятельности «Обеспечение электрической энергией, газом и паром; кондиционирование воздуха» снизился до 7,7%. Доля организаций по виду деятельности </w:t>
      </w:r>
      <w:r>
        <w:rPr>
          <w:sz w:val="24"/>
          <w:szCs w:val="24"/>
        </w:rPr>
        <w:t>«Добыча полезных ископаемых» составляет 15,9%.</w:t>
      </w:r>
    </w:p>
    <w:p w:rsidR="00E85D42" w:rsidRDefault="008113B9">
      <w:pPr>
        <w:ind w:firstLine="709"/>
        <w:jc w:val="both"/>
        <w:rPr>
          <w:sz w:val="24"/>
          <w:szCs w:val="24"/>
        </w:rPr>
      </w:pPr>
      <w:r>
        <w:rPr>
          <w:sz w:val="24"/>
          <w:szCs w:val="24"/>
        </w:rPr>
        <w:t>За период с января по декабрь 2018 года промышленное производство выросло на 3,4%, в т.ч. в «Добыче полезных ископаемых» - рост на 9,4%, в «Обрабатывающих производствах» – рост на 0,5%.</w:t>
      </w:r>
    </w:p>
    <w:p w:rsidR="00E85D42" w:rsidRDefault="008113B9">
      <w:pPr>
        <w:spacing w:line="360" w:lineRule="auto"/>
        <w:jc w:val="center"/>
      </w:pPr>
      <w:r>
        <w:rPr>
          <w:noProof/>
          <w:sz w:val="24"/>
          <w:szCs w:val="24"/>
        </w:rPr>
        <w:drawing>
          <wp:inline distT="0" distB="0" distL="0" distR="0">
            <wp:extent cx="5940427" cy="2740657"/>
            <wp:effectExtent l="0" t="0" r="3173" b="2543"/>
            <wp:docPr id="50" name="Рисунок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40427" cy="2740657"/>
                    </a:xfrm>
                    <a:prstGeom prst="rect">
                      <a:avLst/>
                    </a:prstGeom>
                    <a:noFill/>
                    <a:ln>
                      <a:noFill/>
                      <a:prstDash/>
                    </a:ln>
                  </pic:spPr>
                </pic:pic>
              </a:graphicData>
            </a:graphic>
          </wp:inline>
        </w:drawing>
      </w:r>
      <w:r>
        <w:rPr>
          <w:i/>
          <w:sz w:val="24"/>
          <w:szCs w:val="24"/>
        </w:rPr>
        <w:t>Диаграмма 3.1.3.3</w:t>
      </w:r>
    </w:p>
    <w:p w:rsidR="00E85D42" w:rsidRDefault="008113B9">
      <w:pPr>
        <w:spacing w:line="360" w:lineRule="auto"/>
        <w:jc w:val="center"/>
      </w:pPr>
      <w:r>
        <w:rPr>
          <w:noProof/>
          <w:sz w:val="24"/>
          <w:szCs w:val="24"/>
        </w:rPr>
        <w:drawing>
          <wp:inline distT="0" distB="0" distL="0" distR="0">
            <wp:extent cx="5940427" cy="3562346"/>
            <wp:effectExtent l="0" t="0" r="3173" b="4"/>
            <wp:docPr id="51" name="Рисунок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40427" cy="3562346"/>
                    </a:xfrm>
                    <a:prstGeom prst="rect">
                      <a:avLst/>
                    </a:prstGeom>
                    <a:noFill/>
                    <a:ln>
                      <a:noFill/>
                      <a:prstDash/>
                    </a:ln>
                  </pic:spPr>
                </pic:pic>
              </a:graphicData>
            </a:graphic>
          </wp:inline>
        </w:drawing>
      </w:r>
      <w:r>
        <w:rPr>
          <w:i/>
          <w:sz w:val="24"/>
          <w:szCs w:val="24"/>
        </w:rPr>
        <w:t>Диа</w:t>
      </w:r>
      <w:r>
        <w:rPr>
          <w:i/>
          <w:sz w:val="24"/>
          <w:szCs w:val="24"/>
        </w:rPr>
        <w:t>грамма 3.1.3.4</w:t>
      </w:r>
    </w:p>
    <w:p w:rsidR="00E85D42" w:rsidRDefault="008113B9">
      <w:pPr>
        <w:spacing w:line="360" w:lineRule="auto"/>
        <w:jc w:val="center"/>
      </w:pPr>
      <w:r>
        <w:rPr>
          <w:noProof/>
          <w:sz w:val="24"/>
          <w:szCs w:val="24"/>
        </w:rPr>
        <w:drawing>
          <wp:inline distT="0" distB="0" distL="0" distR="0">
            <wp:extent cx="5695953" cy="2828925"/>
            <wp:effectExtent l="0" t="0" r="0" b="9525"/>
            <wp:docPr id="52" name="Рисунок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695953" cy="2828925"/>
                    </a:xfrm>
                    <a:prstGeom prst="rect">
                      <a:avLst/>
                    </a:prstGeom>
                    <a:noFill/>
                    <a:ln>
                      <a:noFill/>
                      <a:prstDash/>
                    </a:ln>
                  </pic:spPr>
                </pic:pic>
              </a:graphicData>
            </a:graphic>
          </wp:inline>
        </w:drawing>
      </w:r>
      <w:r>
        <w:rPr>
          <w:i/>
          <w:sz w:val="24"/>
          <w:szCs w:val="24"/>
        </w:rPr>
        <w:t>Диаграмма 3.1.3.5</w:t>
      </w:r>
    </w:p>
    <w:p w:rsidR="00E85D42" w:rsidRDefault="008113B9">
      <w:pPr>
        <w:ind w:firstLine="709"/>
        <w:jc w:val="both"/>
        <w:rPr>
          <w:sz w:val="24"/>
          <w:szCs w:val="24"/>
        </w:rPr>
      </w:pPr>
      <w:r>
        <w:rPr>
          <w:sz w:val="24"/>
          <w:szCs w:val="24"/>
        </w:rPr>
        <w:t>При этом увеличение объемов производства в декабре 2018 года зафиксировано по следующим видам деятельности: предоставление услуг в области добычи полезных ископаемых (на 12,6%), производство напитков (на 4,4%), текстильных</w:t>
      </w:r>
      <w:r>
        <w:rPr>
          <w:sz w:val="24"/>
          <w:szCs w:val="24"/>
        </w:rPr>
        <w:t xml:space="preserve"> изделий (на 21,4%), обработка древесины и производство изделий из дерева и пробки, кроме мебели, производство изделий из соломки и материалов для плетения (на 68,2%), производство кокса и нефтепродуктов (на 13,7%), химических веществ и химических продукто</w:t>
      </w:r>
      <w:r>
        <w:rPr>
          <w:sz w:val="24"/>
          <w:szCs w:val="24"/>
        </w:rPr>
        <w:t>в (на 7,9%), производство лекарственных средств и материалов, применяемых в медицинских целях (на 15,8%), производство прочей неметаллической минеральной продукции (на 0,4%), производство компьютеров, электронных и оптических изделий (на 20,8%), производст</w:t>
      </w:r>
      <w:r>
        <w:rPr>
          <w:sz w:val="24"/>
          <w:szCs w:val="24"/>
        </w:rPr>
        <w:t>во электрического оборудования (на 402,1%), прочих транспортных средств и оборудования (на 81,3%), мебели (на 45,4%), ремонт и монтаж машин и оборудования (на 1,5%).</w:t>
      </w:r>
    </w:p>
    <w:p w:rsidR="00E85D42" w:rsidRDefault="008113B9">
      <w:pPr>
        <w:ind w:firstLine="709"/>
        <w:jc w:val="both"/>
        <w:rPr>
          <w:sz w:val="24"/>
          <w:szCs w:val="24"/>
        </w:rPr>
      </w:pPr>
      <w:r>
        <w:rPr>
          <w:sz w:val="24"/>
          <w:szCs w:val="24"/>
        </w:rPr>
        <w:t>Спад объемов производства в декабре 2018 года зафиксирован по следующим видам деятельности</w:t>
      </w:r>
      <w:r>
        <w:rPr>
          <w:sz w:val="24"/>
          <w:szCs w:val="24"/>
        </w:rPr>
        <w:t>: добыча сырой нефти и природного газа (на 0,4%), добыча металлических руд (на 2,2%), добыча прочих полезных ископаемых (на 4,7%), производство пищевых продуктов (на 11,0%), производство одежды (на 2,1%), производство кожи и изделий из кожи (на 5,3%), бума</w:t>
      </w:r>
      <w:r>
        <w:rPr>
          <w:sz w:val="24"/>
          <w:szCs w:val="24"/>
        </w:rPr>
        <w:t>ги и бумажных изделий (на 31,6%), деятельность полиграфическая и копирование носителей информации (на 17,9%), производство резиновых и пластмассовых изделий (на 13,5%), производство металлургическое (на 7,9%), производство готовых металлических изделий, кр</w:t>
      </w:r>
      <w:r>
        <w:rPr>
          <w:sz w:val="24"/>
          <w:szCs w:val="24"/>
        </w:rPr>
        <w:t>оме машин и оборудования (на 5,9%), производство машин и оборудования, не включенных в другие группировки (на 47,2%), автотранспортных средств, прицепов и полуприцепов (на 29,0%), производство прочих готовых изделий (на 10,4%).</w:t>
      </w:r>
    </w:p>
    <w:p w:rsidR="00E85D42" w:rsidRDefault="008113B9">
      <w:pPr>
        <w:ind w:firstLine="709"/>
        <w:jc w:val="both"/>
        <w:rPr>
          <w:sz w:val="24"/>
          <w:szCs w:val="24"/>
        </w:rPr>
      </w:pPr>
      <w:r>
        <w:rPr>
          <w:sz w:val="24"/>
          <w:szCs w:val="24"/>
        </w:rPr>
        <w:t xml:space="preserve">За январь-декабрь 2018 года </w:t>
      </w:r>
      <w:r>
        <w:rPr>
          <w:sz w:val="24"/>
          <w:szCs w:val="24"/>
        </w:rPr>
        <w:t>по сравнению с аналогичным периодом предыдущего года наблюдается увеличение производства следующих видов продукции: древесина необработанная, цельномолочная продукция, сахар-песок, товарная пищевая рыбная продукция, пиво, дизельное топливо.</w:t>
      </w:r>
    </w:p>
    <w:p w:rsidR="00E85D42" w:rsidRDefault="008113B9">
      <w:pPr>
        <w:ind w:firstLine="709"/>
        <w:jc w:val="both"/>
        <w:rPr>
          <w:sz w:val="24"/>
          <w:szCs w:val="24"/>
        </w:rPr>
      </w:pPr>
      <w:r>
        <w:rPr>
          <w:sz w:val="24"/>
          <w:szCs w:val="24"/>
        </w:rPr>
        <w:t>Снижение произв</w:t>
      </w:r>
      <w:r>
        <w:rPr>
          <w:sz w:val="24"/>
          <w:szCs w:val="24"/>
        </w:rPr>
        <w:t xml:space="preserve">одства по сравнению с аналогичным периодом предыдущего года наблюдается по следующим видам продукции: уголь древесный, мясо и субпродукты, трикотажные изделия, обувь, пиломатериалы, автомобильный бензин, строительный кирпич, блоки и камни мелкие стеновые, </w:t>
      </w:r>
      <w:r>
        <w:rPr>
          <w:sz w:val="24"/>
          <w:szCs w:val="24"/>
        </w:rPr>
        <w:t>блоки мелкие стеновые из ячеистого бетона, ювелирные изделия.</w:t>
      </w:r>
    </w:p>
    <w:p w:rsidR="00E85D42" w:rsidRDefault="00E85D42">
      <w:pPr>
        <w:ind w:firstLine="709"/>
        <w:jc w:val="both"/>
        <w:rPr>
          <w:sz w:val="24"/>
          <w:szCs w:val="24"/>
        </w:rPr>
      </w:pPr>
    </w:p>
    <w:p w:rsidR="00E85D42" w:rsidRDefault="008113B9">
      <w:pPr>
        <w:spacing w:line="360" w:lineRule="auto"/>
        <w:jc w:val="both"/>
      </w:pPr>
      <w:r>
        <w:rPr>
          <w:noProof/>
          <w:sz w:val="24"/>
          <w:szCs w:val="24"/>
        </w:rPr>
        <w:drawing>
          <wp:inline distT="0" distB="0" distL="0" distR="0">
            <wp:extent cx="5940427" cy="3707133"/>
            <wp:effectExtent l="0" t="0" r="3173" b="7617"/>
            <wp:docPr id="53" name="Рисунок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40427" cy="3707133"/>
                    </a:xfrm>
                    <a:prstGeom prst="rect">
                      <a:avLst/>
                    </a:prstGeom>
                    <a:noFill/>
                    <a:ln>
                      <a:noFill/>
                      <a:prstDash/>
                    </a:ln>
                  </pic:spPr>
                </pic:pic>
              </a:graphicData>
            </a:graphic>
          </wp:inline>
        </w:drawing>
      </w:r>
    </w:p>
    <w:p w:rsidR="00E85D42" w:rsidRDefault="008113B9">
      <w:pPr>
        <w:spacing w:line="360" w:lineRule="auto"/>
        <w:jc w:val="center"/>
        <w:rPr>
          <w:i/>
          <w:sz w:val="24"/>
          <w:szCs w:val="24"/>
        </w:rPr>
      </w:pPr>
      <w:r>
        <w:rPr>
          <w:i/>
          <w:sz w:val="24"/>
          <w:szCs w:val="24"/>
        </w:rPr>
        <w:t>Диаграмма 3.1.3.6</w:t>
      </w:r>
    </w:p>
    <w:p w:rsidR="00E85D42" w:rsidRDefault="008113B9">
      <w:pPr>
        <w:ind w:firstLine="709"/>
        <w:jc w:val="both"/>
        <w:rPr>
          <w:sz w:val="24"/>
          <w:szCs w:val="24"/>
        </w:rPr>
      </w:pPr>
      <w:r>
        <w:rPr>
          <w:sz w:val="24"/>
          <w:szCs w:val="24"/>
        </w:rPr>
        <w:t>Индекс по виду деятельности «Обеспечение электрической энергией, газом и паром; кондиционирование воздуха» за январь-декабрь 2018 года составил 103,4%.</w:t>
      </w:r>
    </w:p>
    <w:p w:rsidR="00E85D42" w:rsidRDefault="008113B9">
      <w:pPr>
        <w:spacing w:line="360" w:lineRule="auto"/>
        <w:jc w:val="both"/>
      </w:pPr>
      <w:r>
        <w:rPr>
          <w:noProof/>
          <w:sz w:val="24"/>
          <w:szCs w:val="24"/>
        </w:rPr>
        <w:drawing>
          <wp:inline distT="0" distB="0" distL="0" distR="0">
            <wp:extent cx="5940427" cy="2750186"/>
            <wp:effectExtent l="0" t="0" r="3173" b="0"/>
            <wp:docPr id="54" name="Рисунок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40427" cy="2750186"/>
                    </a:xfrm>
                    <a:prstGeom prst="rect">
                      <a:avLst/>
                    </a:prstGeom>
                    <a:noFill/>
                    <a:ln>
                      <a:noFill/>
                      <a:prstDash/>
                    </a:ln>
                  </pic:spPr>
                </pic:pic>
              </a:graphicData>
            </a:graphic>
          </wp:inline>
        </w:drawing>
      </w:r>
    </w:p>
    <w:p w:rsidR="00E85D42" w:rsidRDefault="008113B9">
      <w:pPr>
        <w:spacing w:line="360" w:lineRule="auto"/>
        <w:ind w:firstLine="709"/>
        <w:jc w:val="center"/>
        <w:rPr>
          <w:i/>
          <w:sz w:val="24"/>
          <w:szCs w:val="24"/>
        </w:rPr>
      </w:pPr>
      <w:r>
        <w:rPr>
          <w:i/>
          <w:sz w:val="24"/>
          <w:szCs w:val="24"/>
        </w:rPr>
        <w:t>Диаграмма 3.1.3.7</w:t>
      </w:r>
    </w:p>
    <w:p w:rsidR="00E85D42" w:rsidRDefault="00E85D42">
      <w:pPr>
        <w:ind w:firstLine="709"/>
        <w:jc w:val="both"/>
        <w:rPr>
          <w:b/>
          <w:i/>
          <w:sz w:val="24"/>
          <w:szCs w:val="24"/>
        </w:rPr>
      </w:pPr>
      <w:bookmarkStart w:id="116" w:name="_Toc174267237"/>
      <w:bookmarkStart w:id="117" w:name="_Toc248736467"/>
      <w:bookmarkStart w:id="118" w:name="_Toc267993153"/>
      <w:bookmarkStart w:id="119" w:name="_Toc268791526"/>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E85D42">
      <w:pPr>
        <w:ind w:firstLine="709"/>
        <w:jc w:val="both"/>
        <w:rPr>
          <w:b/>
          <w:i/>
          <w:sz w:val="24"/>
          <w:szCs w:val="24"/>
        </w:rPr>
      </w:pPr>
    </w:p>
    <w:p w:rsidR="00E85D42" w:rsidRDefault="008113B9">
      <w:pPr>
        <w:ind w:firstLine="709"/>
        <w:jc w:val="both"/>
      </w:pPr>
      <w:r>
        <w:rPr>
          <w:b/>
          <w:i/>
          <w:sz w:val="24"/>
          <w:szCs w:val="24"/>
        </w:rPr>
        <w:t>Сельское хозяйство</w:t>
      </w:r>
    </w:p>
    <w:p w:rsidR="00E85D42" w:rsidRDefault="008113B9">
      <w:pPr>
        <w:jc w:val="both"/>
      </w:pPr>
      <w:r>
        <w:rPr>
          <w:noProof/>
          <w:sz w:val="24"/>
          <w:szCs w:val="24"/>
        </w:rPr>
        <w:drawing>
          <wp:inline distT="0" distB="0" distL="0" distR="0">
            <wp:extent cx="6092820" cy="2181228"/>
            <wp:effectExtent l="0" t="0" r="3180" b="9522"/>
            <wp:docPr id="55" name="Рисунок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6092820" cy="2181228"/>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3.1.3.8</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За январь-декабрь 2018 года зафиксирована позитивная динамика производства продукции сельского хозяйства. В регионе имеет место негативная тенденция сокращения поголовья крупного рогатого скота.</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2226307"/>
            <wp:effectExtent l="0" t="0" r="3173" b="2543"/>
            <wp:docPr id="56" name="Рисунок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5940427" cy="2226307"/>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 xml:space="preserve">Диаграмма </w:t>
      </w:r>
      <w:r>
        <w:rPr>
          <w:i/>
          <w:sz w:val="24"/>
          <w:szCs w:val="24"/>
        </w:rPr>
        <w:t>3.1.3.9</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В январе-декабре 2018 года в хозяйствах всех категорий зафиксирован рост производства молока на 0,9% к уровню аналогичного периода предыдущего года. Снижение производства скота и птицы на убой (в живом весе) – на 2,2%, яиц – на 2,6% к уровню анало</w:t>
      </w:r>
      <w:r>
        <w:rPr>
          <w:sz w:val="24"/>
          <w:szCs w:val="24"/>
        </w:rPr>
        <w:t>гичного периода предыдущего года.</w:t>
      </w: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Строительство</w:t>
      </w:r>
    </w:p>
    <w:p w:rsidR="00E85D42" w:rsidRDefault="008113B9">
      <w:pPr>
        <w:ind w:firstLine="709"/>
        <w:jc w:val="both"/>
        <w:rPr>
          <w:sz w:val="24"/>
          <w:szCs w:val="24"/>
        </w:rPr>
      </w:pPr>
      <w:r>
        <w:rPr>
          <w:sz w:val="24"/>
          <w:szCs w:val="24"/>
        </w:rPr>
        <w:t>В январе-декабре 2018 года снижение объёма работ по виду деятельности «Строительство» составило 8,5% к аналогичному периоду прошлого года, при этом жилищное строительство снизилось в январе-декабре 2018 года</w:t>
      </w:r>
      <w:r>
        <w:rPr>
          <w:sz w:val="24"/>
          <w:szCs w:val="24"/>
        </w:rPr>
        <w:t xml:space="preserve"> на 11,5% по сравнению с прошлым годом.</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2598423"/>
            <wp:effectExtent l="0" t="0" r="3173" b="0"/>
            <wp:docPr id="57" name="Рисунок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40427" cy="2598423"/>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center"/>
        <w:rPr>
          <w:i/>
          <w:sz w:val="24"/>
          <w:szCs w:val="24"/>
        </w:rPr>
      </w:pPr>
      <w:r>
        <w:rPr>
          <w:i/>
          <w:sz w:val="24"/>
          <w:szCs w:val="24"/>
        </w:rPr>
        <w:t>Диаграмма 3.1.3.10</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В январе-декабре 2018 года предприятиями и организациями всех видов экономической деятельности произведены работы по виду деятельности «Строительство» на сумму 188 578,6 млн. рублей (включая о</w:t>
      </w:r>
      <w:r>
        <w:rPr>
          <w:sz w:val="24"/>
          <w:szCs w:val="24"/>
        </w:rPr>
        <w:t>бъёмы работ, выполненных организациями других областей на территории республики). По сравнению с прошлым годом объём строительных работ увеличился на 37,2% (в сопоставимой оценке).</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2513969"/>
            <wp:effectExtent l="0" t="0" r="3173" b="631"/>
            <wp:docPr id="58" name="Рисунок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940427" cy="2513969"/>
                    </a:xfrm>
                    <a:prstGeom prst="rect">
                      <a:avLst/>
                    </a:prstGeom>
                    <a:noFill/>
                    <a:ln>
                      <a:noFill/>
                      <a:prstDash/>
                    </a:ln>
                  </pic:spPr>
                </pic:pic>
              </a:graphicData>
            </a:graphic>
          </wp:inline>
        </w:drawing>
      </w:r>
    </w:p>
    <w:p w:rsidR="00E85D42" w:rsidRDefault="008113B9">
      <w:pPr>
        <w:jc w:val="center"/>
        <w:rPr>
          <w:i/>
          <w:sz w:val="24"/>
          <w:szCs w:val="24"/>
        </w:rPr>
      </w:pPr>
      <w:r>
        <w:rPr>
          <w:i/>
          <w:sz w:val="24"/>
          <w:szCs w:val="24"/>
        </w:rPr>
        <w:t>Диаграмма 3.1.3.11</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На конец декабря 2018 года строительными организация</w:t>
      </w:r>
      <w:r>
        <w:rPr>
          <w:sz w:val="24"/>
          <w:szCs w:val="24"/>
        </w:rPr>
        <w:t>ми (без субъектов малого предпринимательства) заключено договоров строительного подряда и прочих заказов (контрактов) на сумму 15 369,2 млн. рублей.</w:t>
      </w: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Жилищное строительство</w:t>
      </w:r>
    </w:p>
    <w:p w:rsidR="00E85D42" w:rsidRDefault="008113B9">
      <w:pPr>
        <w:ind w:firstLine="709"/>
        <w:jc w:val="both"/>
        <w:rPr>
          <w:sz w:val="24"/>
          <w:szCs w:val="24"/>
        </w:rPr>
      </w:pPr>
      <w:r>
        <w:rPr>
          <w:sz w:val="24"/>
          <w:szCs w:val="24"/>
        </w:rPr>
        <w:t>За январь-декабрь 2018 года за счет всех источников финансирования введено жилых до</w:t>
      </w:r>
      <w:r>
        <w:rPr>
          <w:sz w:val="24"/>
          <w:szCs w:val="24"/>
        </w:rPr>
        <w:t>мов общей площадью 2 288,3 тыс. кв. метров, что составило 93,0% к уровню аналогичного периода предыдущего года и по сравнению с декабрем 2017 года – 88,5%.</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2527931"/>
            <wp:effectExtent l="0" t="0" r="3173" b="5719"/>
            <wp:docPr id="59" name="Рисунок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940427" cy="2527931"/>
                    </a:xfrm>
                    <a:prstGeom prst="rect">
                      <a:avLst/>
                    </a:prstGeom>
                    <a:noFill/>
                    <a:ln>
                      <a:noFill/>
                      <a:prstDash/>
                    </a:ln>
                  </pic:spPr>
                </pic:pic>
              </a:graphicData>
            </a:graphic>
          </wp:inline>
        </w:drawing>
      </w:r>
    </w:p>
    <w:p w:rsidR="00E85D42" w:rsidRDefault="008113B9">
      <w:pPr>
        <w:jc w:val="center"/>
        <w:rPr>
          <w:i/>
          <w:sz w:val="24"/>
          <w:szCs w:val="24"/>
        </w:rPr>
      </w:pPr>
      <w:r>
        <w:rPr>
          <w:i/>
          <w:sz w:val="24"/>
          <w:szCs w:val="24"/>
        </w:rPr>
        <w:t>Диаграмма 3.1.3.12</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063745"/>
            <wp:effectExtent l="0" t="0" r="3173" b="0"/>
            <wp:docPr id="60" name="Рисунок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940427" cy="2063745"/>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center"/>
        <w:rPr>
          <w:i/>
          <w:sz w:val="24"/>
          <w:szCs w:val="24"/>
        </w:rPr>
      </w:pPr>
      <w:r>
        <w:rPr>
          <w:i/>
          <w:sz w:val="24"/>
          <w:szCs w:val="24"/>
        </w:rPr>
        <w:t>Диаграмма 3.1.3.13</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 xml:space="preserve">Из введённого по республике жилья за счёт собственных </w:t>
      </w:r>
      <w:r>
        <w:rPr>
          <w:sz w:val="24"/>
          <w:szCs w:val="24"/>
        </w:rPr>
        <w:t>и заёмных средств населением построено 61,2% площади.</w:t>
      </w:r>
    </w:p>
    <w:p w:rsidR="00E85D42" w:rsidRDefault="00E85D42">
      <w:pPr>
        <w:jc w:val="both"/>
        <w:rPr>
          <w:sz w:val="24"/>
          <w:szCs w:val="24"/>
        </w:rPr>
      </w:pPr>
    </w:p>
    <w:p w:rsidR="00E85D42" w:rsidRDefault="008113B9">
      <w:pPr>
        <w:ind w:firstLine="709"/>
        <w:jc w:val="both"/>
        <w:rPr>
          <w:b/>
          <w:i/>
          <w:sz w:val="24"/>
          <w:szCs w:val="24"/>
        </w:rPr>
      </w:pPr>
      <w:r>
        <w:rPr>
          <w:b/>
          <w:i/>
          <w:sz w:val="24"/>
          <w:szCs w:val="24"/>
        </w:rPr>
        <w:t>Инфляция</w:t>
      </w:r>
    </w:p>
    <w:p w:rsidR="00E85D42" w:rsidRDefault="008113B9">
      <w:pPr>
        <w:ind w:firstLine="709"/>
        <w:jc w:val="both"/>
        <w:rPr>
          <w:sz w:val="24"/>
          <w:szCs w:val="24"/>
        </w:rPr>
      </w:pPr>
      <w:r>
        <w:rPr>
          <w:sz w:val="24"/>
          <w:szCs w:val="24"/>
        </w:rPr>
        <w:t>По данным Росстата, за декабрь 2018 года инфляция на потребительском рынке Российской Федерации составила 4,3% к декабрю предыдущего года. Относительно показателя годом ранее (2,5%) инфляция у</w:t>
      </w:r>
      <w:r>
        <w:rPr>
          <w:sz w:val="24"/>
          <w:szCs w:val="24"/>
        </w:rPr>
        <w:t>скорилась в 1,7 раза.</w:t>
      </w:r>
    </w:p>
    <w:p w:rsidR="00E85D42" w:rsidRDefault="008113B9">
      <w:pPr>
        <w:ind w:firstLine="709"/>
        <w:jc w:val="both"/>
        <w:rPr>
          <w:sz w:val="24"/>
          <w:szCs w:val="24"/>
        </w:rPr>
      </w:pPr>
      <w:r>
        <w:rPr>
          <w:sz w:val="24"/>
          <w:szCs w:val="24"/>
        </w:rPr>
        <w:t>В декабре 2018 года рост цен на продовольственные товары по Российской Федерации составил 4,7% к декабрю предыдущего года против 1,1% год назад. На непродовольственные товары рост цен в декабре 2018 года оказался 4,1% к декабрю предыд</w:t>
      </w:r>
      <w:r>
        <w:rPr>
          <w:sz w:val="24"/>
          <w:szCs w:val="24"/>
        </w:rPr>
        <w:t>ущего года (год назад 2,8%).</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2678433"/>
            <wp:effectExtent l="0" t="0" r="3173" b="7617"/>
            <wp:docPr id="61" name="Рисунок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940427" cy="2678433"/>
                    </a:xfrm>
                    <a:prstGeom prst="rect">
                      <a:avLst/>
                    </a:prstGeom>
                    <a:noFill/>
                    <a:ln>
                      <a:noFill/>
                      <a:prstDash/>
                    </a:ln>
                  </pic:spPr>
                </pic:pic>
              </a:graphicData>
            </a:graphic>
          </wp:inline>
        </w:drawing>
      </w:r>
    </w:p>
    <w:p w:rsidR="00E85D42" w:rsidRDefault="008113B9">
      <w:pPr>
        <w:jc w:val="center"/>
        <w:rPr>
          <w:i/>
          <w:sz w:val="24"/>
          <w:szCs w:val="24"/>
        </w:rPr>
      </w:pPr>
      <w:r>
        <w:rPr>
          <w:i/>
          <w:sz w:val="24"/>
          <w:szCs w:val="24"/>
        </w:rPr>
        <w:t>Диаграмма 3.1.3.14</w:t>
      </w:r>
    </w:p>
    <w:p w:rsidR="00E85D42" w:rsidRDefault="008113B9">
      <w:pPr>
        <w:jc w:val="both"/>
      </w:pPr>
      <w:r>
        <w:rPr>
          <w:noProof/>
          <w:sz w:val="24"/>
          <w:szCs w:val="24"/>
        </w:rPr>
        <w:drawing>
          <wp:inline distT="0" distB="0" distL="0" distR="0">
            <wp:extent cx="5940427" cy="2734942"/>
            <wp:effectExtent l="0" t="0" r="3173" b="8258"/>
            <wp:docPr id="62" name="Рисунок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940427" cy="2734942"/>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3.1.3.15</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Сводный индекс потребительских цен по республике в декабре 2018 года уменьшился по отношению к аналогичному месяцу предыдущего года на 0,5%.</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299331"/>
            <wp:effectExtent l="0" t="0" r="3173" b="5719"/>
            <wp:docPr id="63" name="Рисунок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5940427" cy="2299331"/>
                    </a:xfrm>
                    <a:prstGeom prst="rect">
                      <a:avLst/>
                    </a:prstGeom>
                    <a:noFill/>
                    <a:ln>
                      <a:noFill/>
                      <a:prstDash/>
                    </a:ln>
                  </pic:spPr>
                </pic:pic>
              </a:graphicData>
            </a:graphic>
          </wp:inline>
        </w:drawing>
      </w:r>
    </w:p>
    <w:p w:rsidR="00E85D42" w:rsidRDefault="00E85D42">
      <w:pPr>
        <w:ind w:firstLine="709"/>
        <w:jc w:val="center"/>
        <w:rPr>
          <w:i/>
          <w:sz w:val="24"/>
          <w:szCs w:val="24"/>
        </w:rPr>
      </w:pPr>
    </w:p>
    <w:p w:rsidR="00E85D42" w:rsidRDefault="008113B9">
      <w:pPr>
        <w:ind w:firstLine="709"/>
        <w:jc w:val="center"/>
        <w:rPr>
          <w:i/>
          <w:sz w:val="24"/>
          <w:szCs w:val="24"/>
        </w:rPr>
      </w:pPr>
      <w:r>
        <w:rPr>
          <w:i/>
          <w:sz w:val="24"/>
          <w:szCs w:val="24"/>
        </w:rPr>
        <w:t>Диаграмма 3.1.3.16</w:t>
      </w:r>
    </w:p>
    <w:p w:rsidR="00E85D42" w:rsidRDefault="008113B9">
      <w:pPr>
        <w:ind w:firstLine="709"/>
        <w:jc w:val="both"/>
        <w:rPr>
          <w:sz w:val="24"/>
          <w:szCs w:val="24"/>
        </w:rPr>
      </w:pPr>
      <w:r>
        <w:rPr>
          <w:sz w:val="24"/>
          <w:szCs w:val="24"/>
        </w:rPr>
        <w:t>В декабре 2018 года</w:t>
      </w:r>
      <w:r>
        <w:rPr>
          <w:sz w:val="24"/>
          <w:szCs w:val="24"/>
        </w:rPr>
        <w:t xml:space="preserve"> по сравнению с декабрем предыдущего года цены на продовольственные товары, включая алкогольные напитки, выросли на 5,0% (в аналогичном периоде прошлого года – на 0,6%).</w:t>
      </w:r>
    </w:p>
    <w:p w:rsidR="00E85D42" w:rsidRDefault="008113B9">
      <w:pPr>
        <w:ind w:firstLine="709"/>
        <w:jc w:val="both"/>
        <w:rPr>
          <w:sz w:val="24"/>
          <w:szCs w:val="24"/>
        </w:rPr>
      </w:pPr>
      <w:r>
        <w:rPr>
          <w:sz w:val="24"/>
          <w:szCs w:val="24"/>
        </w:rPr>
        <w:t xml:space="preserve">За декабрь 2018 года прирост цен на продовольственные товары составил 5,0%, что в 8,4 </w:t>
      </w:r>
      <w:r>
        <w:rPr>
          <w:sz w:val="24"/>
          <w:szCs w:val="24"/>
        </w:rPr>
        <w:t>раза выше, чем прирост цен за прошлый год (0,6%). На непродовольственные товары прирост составил 3,9%, что в 2,8 раза выше, чем прирост цен за прошлый год (1,4%).</w:t>
      </w:r>
    </w:p>
    <w:p w:rsidR="00E85D42" w:rsidRDefault="008113B9">
      <w:pPr>
        <w:ind w:firstLine="709"/>
        <w:jc w:val="both"/>
        <w:rPr>
          <w:sz w:val="24"/>
          <w:szCs w:val="24"/>
        </w:rPr>
      </w:pPr>
      <w:r>
        <w:rPr>
          <w:sz w:val="24"/>
          <w:szCs w:val="24"/>
        </w:rPr>
        <w:t xml:space="preserve">Стоимость минимального набора продуктов питания на конец декабря 2018 года составила по </w:t>
      </w:r>
      <w:r>
        <w:rPr>
          <w:sz w:val="24"/>
          <w:szCs w:val="24"/>
        </w:rPr>
        <w:t>республике 3 640,0 рублей и повысилась за месяц на 3,2%. По сравнению с аналогичным периодом предыдущего года стоимость набора выросла на 5,9%.</w:t>
      </w:r>
    </w:p>
    <w:p w:rsidR="00E85D42" w:rsidRDefault="008113B9">
      <w:pPr>
        <w:ind w:firstLine="709"/>
        <w:jc w:val="both"/>
        <w:rPr>
          <w:sz w:val="24"/>
          <w:szCs w:val="24"/>
        </w:rPr>
      </w:pPr>
      <w:r>
        <w:rPr>
          <w:sz w:val="24"/>
          <w:szCs w:val="24"/>
        </w:rPr>
        <w:t>Рост цен на платные услуги составил в декабре 2018 года 3,8%, в аналогичном периоде предыдущего года – 3,6%. Сре</w:t>
      </w:r>
      <w:r>
        <w:rPr>
          <w:sz w:val="24"/>
          <w:szCs w:val="24"/>
        </w:rPr>
        <w:t>ди платных услуг рост показали тарифы на жилищно-коммунальные услуги – за декабрь 2018 года в среднем на 4,2%.</w:t>
      </w:r>
    </w:p>
    <w:p w:rsidR="00E85D42" w:rsidRDefault="00E85D42">
      <w:pPr>
        <w:ind w:firstLine="709"/>
        <w:jc w:val="both"/>
        <w:rPr>
          <w:sz w:val="24"/>
          <w:szCs w:val="24"/>
        </w:rPr>
      </w:pPr>
    </w:p>
    <w:p w:rsidR="00E85D42" w:rsidRDefault="008113B9">
      <w:pPr>
        <w:ind w:firstLine="709"/>
        <w:jc w:val="center"/>
        <w:rPr>
          <w:b/>
          <w:i/>
          <w:sz w:val="24"/>
          <w:szCs w:val="24"/>
        </w:rPr>
      </w:pPr>
      <w:r>
        <w:rPr>
          <w:b/>
          <w:i/>
          <w:sz w:val="24"/>
          <w:szCs w:val="24"/>
        </w:rPr>
        <w:t>Инвестиционный и потребительский спрос</w:t>
      </w:r>
    </w:p>
    <w:p w:rsidR="00E85D42" w:rsidRDefault="008113B9">
      <w:pPr>
        <w:ind w:firstLine="709"/>
        <w:jc w:val="both"/>
        <w:rPr>
          <w:b/>
          <w:i/>
          <w:sz w:val="24"/>
          <w:szCs w:val="24"/>
        </w:rPr>
      </w:pPr>
      <w:r>
        <w:rPr>
          <w:b/>
          <w:i/>
          <w:sz w:val="24"/>
          <w:szCs w:val="24"/>
        </w:rPr>
        <w:t>Инвестиции в основной капитал</w:t>
      </w:r>
    </w:p>
    <w:p w:rsidR="00E85D42" w:rsidRDefault="008113B9">
      <w:pPr>
        <w:ind w:firstLine="709"/>
        <w:jc w:val="both"/>
        <w:rPr>
          <w:sz w:val="24"/>
          <w:szCs w:val="24"/>
        </w:rPr>
      </w:pPr>
      <w:r>
        <w:rPr>
          <w:sz w:val="24"/>
          <w:szCs w:val="24"/>
        </w:rPr>
        <w:t>В Республике Башкортостан за III квартал 2018 года объём инвестиций в основ</w:t>
      </w:r>
      <w:r>
        <w:rPr>
          <w:sz w:val="24"/>
          <w:szCs w:val="24"/>
        </w:rPr>
        <w:t>ной капитал снизился к соответствующему периоду прошлого года на 2,0%, в то время как по России, в целом, вырос на 4,1%.</w:t>
      </w:r>
    </w:p>
    <w:p w:rsidR="00E85D42" w:rsidRDefault="008113B9">
      <w:pPr>
        <w:ind w:firstLine="709"/>
        <w:jc w:val="both"/>
        <w:rPr>
          <w:sz w:val="24"/>
          <w:szCs w:val="24"/>
        </w:rPr>
      </w:pPr>
      <w:r>
        <w:rPr>
          <w:sz w:val="24"/>
          <w:szCs w:val="24"/>
        </w:rPr>
        <w:t>В III квартале 2018 года освоено 99 522,7 млн. рублей инвестиций в основной капитал – 98,0% к соответствующему периоду прошлого года (в</w:t>
      </w:r>
      <w:r>
        <w:rPr>
          <w:sz w:val="24"/>
          <w:szCs w:val="24"/>
        </w:rPr>
        <w:t xml:space="preserve"> сопоставимых ценах).</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393313"/>
            <wp:effectExtent l="0" t="0" r="3173" b="6987"/>
            <wp:docPr id="64" name="Рисунок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940427" cy="2393313"/>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3.1.3.17</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356481"/>
            <wp:effectExtent l="0" t="0" r="3173" b="5719"/>
            <wp:docPr id="65" name="Рисунок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5940427" cy="2356481"/>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3.1.3.18</w:t>
      </w:r>
    </w:p>
    <w:p w:rsidR="00E85D42" w:rsidRDefault="008113B9">
      <w:pPr>
        <w:ind w:firstLine="709"/>
        <w:jc w:val="both"/>
        <w:rPr>
          <w:sz w:val="24"/>
          <w:szCs w:val="24"/>
        </w:rPr>
      </w:pPr>
      <w:r>
        <w:rPr>
          <w:sz w:val="24"/>
          <w:szCs w:val="24"/>
        </w:rPr>
        <w:t>Основная доля инвестиций в основной капитал в III квартале 2018 года осуществлялась организациями по видам экономической деятельности: обрабатывающие производства (30,9% в общем объёме инве</w:t>
      </w:r>
      <w:r>
        <w:rPr>
          <w:sz w:val="24"/>
          <w:szCs w:val="24"/>
        </w:rPr>
        <w:t>стиций в основной капитал) и добыча полезных ископаемых (18,5%).</w:t>
      </w:r>
    </w:p>
    <w:p w:rsidR="00E85D42" w:rsidRDefault="00E85D42">
      <w:pPr>
        <w:jc w:val="both"/>
        <w:rPr>
          <w:sz w:val="24"/>
          <w:szCs w:val="24"/>
        </w:rPr>
      </w:pPr>
    </w:p>
    <w:p w:rsidR="00E85D42" w:rsidRDefault="008113B9">
      <w:pPr>
        <w:ind w:firstLine="709"/>
        <w:jc w:val="both"/>
        <w:rPr>
          <w:b/>
          <w:i/>
          <w:sz w:val="24"/>
          <w:szCs w:val="24"/>
        </w:rPr>
      </w:pPr>
      <w:r>
        <w:rPr>
          <w:b/>
          <w:i/>
          <w:sz w:val="24"/>
          <w:szCs w:val="24"/>
        </w:rPr>
        <w:t>Ситуация на потребительском рынке</w:t>
      </w:r>
    </w:p>
    <w:p w:rsidR="00E85D42" w:rsidRDefault="008113B9">
      <w:pPr>
        <w:ind w:firstLine="709"/>
        <w:jc w:val="both"/>
        <w:rPr>
          <w:sz w:val="24"/>
          <w:szCs w:val="24"/>
        </w:rPr>
      </w:pPr>
      <w:r>
        <w:rPr>
          <w:sz w:val="24"/>
          <w:szCs w:val="24"/>
        </w:rPr>
        <w:t>В январе-декабре 2018 года наблюдался рост оборота розничной торговли, который составил 2,6% к соответствующему периоду предыдущего года. При этом в декабре</w:t>
      </w:r>
      <w:r>
        <w:rPr>
          <w:sz w:val="24"/>
          <w:szCs w:val="24"/>
        </w:rPr>
        <w:t xml:space="preserve"> 2018 года по сравнению с аналогичным периодом предыдущего года оборот вырос на 2,8%.</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368552"/>
            <wp:effectExtent l="0" t="0" r="3173" b="0"/>
            <wp:docPr id="66" name="Рисунок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5940427" cy="2368552"/>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3.1.3.19</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В январе-декабре 2018 года рынок платных услуг населению вырос на 0,2% по сравнению с прошлым годом. Населению оказано платных услуг в целом по Рес</w:t>
      </w:r>
      <w:r>
        <w:rPr>
          <w:sz w:val="24"/>
          <w:szCs w:val="24"/>
        </w:rPr>
        <w:t>публике Башкортостан на сумму 261 406,9 млн. рублей.</w:t>
      </w:r>
    </w:p>
    <w:p w:rsidR="00E85D42" w:rsidRDefault="00E85D42">
      <w:pPr>
        <w:jc w:val="both"/>
        <w:rPr>
          <w:sz w:val="24"/>
          <w:szCs w:val="24"/>
        </w:rPr>
      </w:pPr>
    </w:p>
    <w:tbl>
      <w:tblPr>
        <w:tblW w:w="5000" w:type="pct"/>
        <w:tblCellMar>
          <w:left w:w="10" w:type="dxa"/>
          <w:right w:w="10" w:type="dxa"/>
        </w:tblCellMar>
        <w:tblLook w:val="04A0" w:firstRow="1" w:lastRow="0" w:firstColumn="1" w:lastColumn="0" w:noHBand="0" w:noVBand="1"/>
      </w:tblPr>
      <w:tblGrid>
        <w:gridCol w:w="4828"/>
        <w:gridCol w:w="1422"/>
        <w:gridCol w:w="1565"/>
        <w:gridCol w:w="1555"/>
      </w:tblGrid>
      <w:tr w:rsidR="00E85D42">
        <w:tblPrEx>
          <w:tblCellMar>
            <w:top w:w="0" w:type="dxa"/>
            <w:bottom w:w="0" w:type="dxa"/>
          </w:tblCellMar>
        </w:tblPrEx>
        <w:tc>
          <w:tcPr>
            <w:tcW w:w="4828"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услуги</w:t>
            </w:r>
          </w:p>
        </w:tc>
        <w:tc>
          <w:tcPr>
            <w:tcW w:w="1422"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млн. рублей</w:t>
            </w:r>
          </w:p>
        </w:tc>
        <w:tc>
          <w:tcPr>
            <w:tcW w:w="3120" w:type="dxa"/>
            <w:gridSpan w:val="2"/>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b/>
                <w:bCs/>
                <w:sz w:val="24"/>
                <w:szCs w:val="24"/>
              </w:rPr>
            </w:pPr>
            <w:r>
              <w:rPr>
                <w:b/>
                <w:bCs/>
                <w:sz w:val="24"/>
                <w:szCs w:val="24"/>
              </w:rPr>
              <w:t>в % к</w:t>
            </w:r>
          </w:p>
        </w:tc>
      </w:tr>
      <w:tr w:rsidR="00E85D42">
        <w:tblPrEx>
          <w:tblCellMar>
            <w:top w:w="0" w:type="dxa"/>
            <w:bottom w:w="0" w:type="dxa"/>
          </w:tblCellMar>
        </w:tblPrEx>
        <w:tc>
          <w:tcPr>
            <w:tcW w:w="4828" w:type="dxa"/>
            <w:vMerge/>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E85D42">
            <w:pPr>
              <w:jc w:val="both"/>
              <w:rPr>
                <w:sz w:val="24"/>
                <w:szCs w:val="24"/>
              </w:rPr>
            </w:pPr>
          </w:p>
        </w:tc>
        <w:tc>
          <w:tcPr>
            <w:tcW w:w="1422" w:type="dxa"/>
            <w:vMerge/>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E85D42">
            <w:pPr>
              <w:jc w:val="both"/>
              <w:rPr>
                <w:sz w:val="24"/>
                <w:szCs w:val="24"/>
              </w:rPr>
            </w:pP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итогу</w:t>
            </w:r>
          </w:p>
        </w:tc>
        <w:tc>
          <w:tcPr>
            <w:tcW w:w="155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E85D42" w:rsidRDefault="008113B9">
            <w:pPr>
              <w:jc w:val="center"/>
              <w:rPr>
                <w:b/>
                <w:bCs/>
                <w:sz w:val="24"/>
                <w:szCs w:val="24"/>
              </w:rPr>
            </w:pPr>
            <w:r>
              <w:rPr>
                <w:b/>
                <w:bCs/>
                <w:sz w:val="24"/>
                <w:szCs w:val="24"/>
              </w:rPr>
              <w:t>2017 года</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бытовые</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31523,6</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12,1</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101,4</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транспортные</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41785,6</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16,0</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104,9</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жилищные</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18448,1</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7,1</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100,9</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коммунальные</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53660,9</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20,5</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98,2</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учреждений культуры</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2646,4</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1,0</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98,1</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туристские</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5899,9</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2,3</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101,0</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гостиниц</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4887,0</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1,9</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101,7</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физической культуры и спорта</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1981,8</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0,8</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113,1</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медицинские</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28137,6</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10,8</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100,9</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санаторно-оздоровительные</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4727,8</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1,8</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93,6</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ветеринарные</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462,8</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0,2</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102,8</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правового характера</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1805,9</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0,7</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140,0</w:t>
            </w:r>
          </w:p>
        </w:tc>
      </w:tr>
      <w:tr w:rsidR="00E85D42">
        <w:tblPrEx>
          <w:tblCellMar>
            <w:top w:w="0" w:type="dxa"/>
            <w:bottom w:w="0" w:type="dxa"/>
          </w:tblCellMar>
        </w:tblPrEx>
        <w:tc>
          <w:tcPr>
            <w:tcW w:w="482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в системе</w:t>
            </w:r>
            <w:r>
              <w:rPr>
                <w:sz w:val="24"/>
                <w:szCs w:val="24"/>
              </w:rPr>
              <w:t xml:space="preserve"> образования</w:t>
            </w:r>
          </w:p>
        </w:tc>
        <w:tc>
          <w:tcPr>
            <w:tcW w:w="142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23256,8</w:t>
            </w:r>
          </w:p>
        </w:tc>
        <w:tc>
          <w:tcPr>
            <w:tcW w:w="156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8,9</w:t>
            </w:r>
          </w:p>
        </w:tc>
        <w:tc>
          <w:tcPr>
            <w:tcW w:w="155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E85D42" w:rsidRDefault="008113B9">
            <w:pPr>
              <w:jc w:val="center"/>
              <w:rPr>
                <w:sz w:val="24"/>
                <w:szCs w:val="24"/>
              </w:rPr>
            </w:pPr>
            <w:r>
              <w:rPr>
                <w:sz w:val="24"/>
                <w:szCs w:val="24"/>
              </w:rPr>
              <w:t>99,4</w:t>
            </w:r>
          </w:p>
        </w:tc>
      </w:tr>
    </w:tbl>
    <w:p w:rsidR="00E85D42" w:rsidRDefault="00E85D42">
      <w:pPr>
        <w:jc w:val="both"/>
        <w:rPr>
          <w:sz w:val="24"/>
          <w:szCs w:val="24"/>
        </w:rPr>
      </w:pPr>
    </w:p>
    <w:p w:rsidR="00E85D42" w:rsidRDefault="008113B9">
      <w:pPr>
        <w:ind w:firstLine="709"/>
        <w:jc w:val="both"/>
        <w:rPr>
          <w:sz w:val="24"/>
          <w:szCs w:val="24"/>
        </w:rPr>
      </w:pPr>
      <w:r>
        <w:rPr>
          <w:sz w:val="24"/>
          <w:szCs w:val="24"/>
        </w:rPr>
        <w:t>В январе-декабре 2018 года отмечено снижение объёмов предоставления услуг по видам: коммунальные услуги на 1,8%, услуги учреждений культуры на 1,9%, санаторно-оздоровительные услуги на 6,4%, услуги в системе образования на 0</w:t>
      </w:r>
      <w:r>
        <w:rPr>
          <w:sz w:val="24"/>
          <w:szCs w:val="24"/>
        </w:rPr>
        <w:t>,6%.</w:t>
      </w:r>
    </w:p>
    <w:p w:rsidR="00E85D42" w:rsidRDefault="008113B9">
      <w:pPr>
        <w:ind w:firstLine="709"/>
        <w:jc w:val="both"/>
        <w:rPr>
          <w:sz w:val="24"/>
          <w:szCs w:val="24"/>
        </w:rPr>
      </w:pPr>
      <w:r>
        <w:rPr>
          <w:sz w:val="24"/>
          <w:szCs w:val="24"/>
        </w:rPr>
        <w:t>Рост отмечен по видам: бытовые услуги на 1,4%, транспортные услуги на 4,9%, жилищные услуги на 0,9%, туристские услуги на 1,0%, услуги гостиниц на 1,7%, услуги физической культуры и спорта на 13,1%, медицинские услуги на 0,9%, ветеринарные услуги на 2</w:t>
      </w:r>
      <w:r>
        <w:rPr>
          <w:sz w:val="24"/>
          <w:szCs w:val="24"/>
        </w:rPr>
        <w:t>,8%, услуги правового характера на 40,0%.</w:t>
      </w:r>
    </w:p>
    <w:p w:rsidR="00E85D42" w:rsidRDefault="00E85D42">
      <w:pPr>
        <w:ind w:firstLine="709"/>
        <w:jc w:val="both"/>
        <w:rPr>
          <w:sz w:val="24"/>
          <w:szCs w:val="24"/>
        </w:rPr>
      </w:pPr>
    </w:p>
    <w:p w:rsidR="00E85D42" w:rsidRDefault="008113B9">
      <w:pPr>
        <w:ind w:firstLine="709"/>
        <w:jc w:val="center"/>
      </w:pPr>
      <w:r>
        <w:rPr>
          <w:b/>
          <w:i/>
          <w:sz w:val="24"/>
          <w:szCs w:val="24"/>
        </w:rPr>
        <w:t>Макроэкономика</w:t>
      </w:r>
    </w:p>
    <w:p w:rsidR="00E85D42" w:rsidRDefault="008113B9">
      <w:pPr>
        <w:ind w:firstLine="709"/>
        <w:jc w:val="both"/>
        <w:rPr>
          <w:b/>
          <w:i/>
          <w:sz w:val="24"/>
          <w:szCs w:val="24"/>
        </w:rPr>
      </w:pPr>
      <w:r>
        <w:rPr>
          <w:b/>
          <w:i/>
          <w:sz w:val="24"/>
          <w:szCs w:val="24"/>
        </w:rPr>
        <w:t>Государство. Бюджет и налоговые поступления</w:t>
      </w:r>
    </w:p>
    <w:p w:rsidR="00E85D42" w:rsidRDefault="008113B9">
      <w:pPr>
        <w:ind w:firstLine="709"/>
        <w:jc w:val="both"/>
        <w:rPr>
          <w:sz w:val="24"/>
          <w:szCs w:val="24"/>
        </w:rPr>
      </w:pPr>
      <w:r>
        <w:rPr>
          <w:sz w:val="24"/>
          <w:szCs w:val="24"/>
        </w:rPr>
        <w:t>По данным Федерального Казначейства, за январь-декабрь 2018 года консолидированный бюджет исполнен с профицитом в сумме 24 616,4 млн. рублей.</w:t>
      </w:r>
    </w:p>
    <w:p w:rsidR="00E85D42" w:rsidRDefault="008113B9">
      <w:pPr>
        <w:ind w:firstLine="709"/>
        <w:jc w:val="both"/>
        <w:rPr>
          <w:sz w:val="24"/>
          <w:szCs w:val="24"/>
        </w:rPr>
      </w:pPr>
      <w:r>
        <w:rPr>
          <w:sz w:val="24"/>
          <w:szCs w:val="24"/>
        </w:rPr>
        <w:t xml:space="preserve">Сведения об </w:t>
      </w:r>
      <w:r>
        <w:rPr>
          <w:sz w:val="24"/>
          <w:szCs w:val="24"/>
        </w:rPr>
        <w:t>исполнении основных плановых показателей консолидированного бюджета Республики Башкортостан по итогам декабря 2018 года представлены в таблице:</w:t>
      </w:r>
    </w:p>
    <w:p w:rsidR="00E85D42" w:rsidRDefault="00E85D42">
      <w:pPr>
        <w:jc w:val="both"/>
        <w:rPr>
          <w:sz w:val="24"/>
          <w:szCs w:val="24"/>
        </w:rPr>
      </w:pPr>
    </w:p>
    <w:tbl>
      <w:tblPr>
        <w:tblW w:w="5000" w:type="pct"/>
        <w:tblCellMar>
          <w:left w:w="10" w:type="dxa"/>
          <w:right w:w="10" w:type="dxa"/>
        </w:tblCellMar>
        <w:tblLook w:val="04A0" w:firstRow="1" w:lastRow="0" w:firstColumn="1" w:lastColumn="0" w:noHBand="0" w:noVBand="1"/>
      </w:tblPr>
      <w:tblGrid>
        <w:gridCol w:w="3975"/>
        <w:gridCol w:w="1274"/>
        <w:gridCol w:w="1742"/>
        <w:gridCol w:w="2379"/>
      </w:tblGrid>
      <w:tr w:rsidR="00E85D42">
        <w:tblPrEx>
          <w:tblCellMar>
            <w:top w:w="0" w:type="dxa"/>
            <w:bottom w:w="0" w:type="dxa"/>
          </w:tblCellMar>
        </w:tblPrEx>
        <w:tc>
          <w:tcPr>
            <w:tcW w:w="397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Показатель</w:t>
            </w:r>
          </w:p>
        </w:tc>
        <w:tc>
          <w:tcPr>
            <w:tcW w:w="127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План, млн. руб.</w:t>
            </w:r>
          </w:p>
        </w:tc>
        <w:tc>
          <w:tcPr>
            <w:tcW w:w="174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Исполнено, млн. руб.</w:t>
            </w:r>
          </w:p>
        </w:tc>
        <w:tc>
          <w:tcPr>
            <w:tcW w:w="237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Процент исполнения бюджета, %</w:t>
            </w:r>
          </w:p>
        </w:tc>
      </w:tr>
      <w:tr w:rsidR="00E85D42">
        <w:tblPrEx>
          <w:tblCellMar>
            <w:top w:w="0" w:type="dxa"/>
            <w:bottom w:w="0" w:type="dxa"/>
          </w:tblCellMar>
        </w:tblPrEx>
        <w:tc>
          <w:tcPr>
            <w:tcW w:w="397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Доходы</w:t>
            </w:r>
          </w:p>
        </w:tc>
        <w:tc>
          <w:tcPr>
            <w:tcW w:w="127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228825,3</w:t>
            </w:r>
          </w:p>
        </w:tc>
        <w:tc>
          <w:tcPr>
            <w:tcW w:w="174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239885,6</w:t>
            </w:r>
          </w:p>
        </w:tc>
        <w:tc>
          <w:tcPr>
            <w:tcW w:w="237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104,8</w:t>
            </w:r>
          </w:p>
        </w:tc>
      </w:tr>
      <w:tr w:rsidR="00E85D42">
        <w:tblPrEx>
          <w:tblCellMar>
            <w:top w:w="0" w:type="dxa"/>
            <w:bottom w:w="0" w:type="dxa"/>
          </w:tblCellMar>
        </w:tblPrEx>
        <w:tc>
          <w:tcPr>
            <w:tcW w:w="397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Расходы</w:t>
            </w:r>
          </w:p>
        </w:tc>
        <w:tc>
          <w:tcPr>
            <w:tcW w:w="127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231425,2</w:t>
            </w:r>
          </w:p>
        </w:tc>
        <w:tc>
          <w:tcPr>
            <w:tcW w:w="174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215269,3</w:t>
            </w:r>
          </w:p>
        </w:tc>
        <w:tc>
          <w:tcPr>
            <w:tcW w:w="237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93,0</w:t>
            </w:r>
          </w:p>
        </w:tc>
      </w:tr>
      <w:tr w:rsidR="00E85D42">
        <w:tblPrEx>
          <w:tblCellMar>
            <w:top w:w="0" w:type="dxa"/>
            <w:bottom w:w="0" w:type="dxa"/>
          </w:tblCellMar>
        </w:tblPrEx>
        <w:tc>
          <w:tcPr>
            <w:tcW w:w="397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Результат исполнения бюджета (профицит (+) / дефицит (-)), млн. руб</w:t>
            </w:r>
          </w:p>
        </w:tc>
        <w:tc>
          <w:tcPr>
            <w:tcW w:w="127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-2600,0</w:t>
            </w:r>
          </w:p>
        </w:tc>
        <w:tc>
          <w:tcPr>
            <w:tcW w:w="174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24616,4</w:t>
            </w:r>
          </w:p>
        </w:tc>
        <w:tc>
          <w:tcPr>
            <w:tcW w:w="2379" w:type="dxa"/>
            <w:tcBorders>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E85D42">
            <w:pPr>
              <w:jc w:val="center"/>
              <w:rPr>
                <w:sz w:val="24"/>
                <w:szCs w:val="24"/>
              </w:rPr>
            </w:pPr>
          </w:p>
        </w:tc>
      </w:tr>
    </w:tbl>
    <w:p w:rsidR="00E85D42" w:rsidRDefault="00E85D42">
      <w:pPr>
        <w:jc w:val="both"/>
        <w:rPr>
          <w:sz w:val="24"/>
          <w:szCs w:val="24"/>
        </w:rPr>
      </w:pPr>
    </w:p>
    <w:p w:rsidR="00E85D42" w:rsidRDefault="008113B9">
      <w:pPr>
        <w:ind w:firstLine="709"/>
        <w:jc w:val="both"/>
        <w:rPr>
          <w:sz w:val="24"/>
          <w:szCs w:val="24"/>
        </w:rPr>
      </w:pPr>
      <w:r>
        <w:rPr>
          <w:sz w:val="24"/>
          <w:szCs w:val="24"/>
        </w:rPr>
        <w:t xml:space="preserve">По сравнению с соответствующим периодом прошлого года в январе-декабре 2018 года доходы консолидированного бюджета увеличились на 38 </w:t>
      </w:r>
      <w:r>
        <w:rPr>
          <w:sz w:val="24"/>
          <w:szCs w:val="24"/>
        </w:rPr>
        <w:t>884,4 млн. рублей (на 19,3%) и составили 239 885,6 млн. рублей.</w:t>
      </w:r>
    </w:p>
    <w:p w:rsidR="00E85D42" w:rsidRDefault="00E85D42">
      <w:pPr>
        <w:jc w:val="both"/>
        <w:rPr>
          <w:sz w:val="24"/>
          <w:szCs w:val="24"/>
        </w:rPr>
      </w:pPr>
    </w:p>
    <w:p w:rsidR="00E85D42" w:rsidRDefault="008113B9">
      <w:pPr>
        <w:jc w:val="both"/>
      </w:pPr>
      <w:r>
        <w:rPr>
          <w:noProof/>
          <w:sz w:val="24"/>
          <w:szCs w:val="24"/>
        </w:rPr>
        <w:drawing>
          <wp:inline distT="0" distB="0" distL="0" distR="0">
            <wp:extent cx="5372100" cy="2790821"/>
            <wp:effectExtent l="0" t="0" r="0" b="0"/>
            <wp:docPr id="67" name="Рисунок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372100" cy="2790821"/>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3.1.3.20</w:t>
      </w:r>
    </w:p>
    <w:p w:rsidR="00E85D42" w:rsidRDefault="00E85D42">
      <w:pPr>
        <w:ind w:firstLine="709"/>
        <w:jc w:val="center"/>
        <w:rPr>
          <w:i/>
          <w:sz w:val="24"/>
          <w:szCs w:val="24"/>
        </w:rPr>
      </w:pPr>
    </w:p>
    <w:p w:rsidR="00E85D42" w:rsidRDefault="008113B9">
      <w:pPr>
        <w:jc w:val="both"/>
      </w:pPr>
      <w:r>
        <w:rPr>
          <w:noProof/>
          <w:sz w:val="24"/>
          <w:szCs w:val="24"/>
        </w:rPr>
        <w:drawing>
          <wp:inline distT="0" distB="0" distL="0" distR="0">
            <wp:extent cx="5940427" cy="2737485"/>
            <wp:effectExtent l="0" t="0" r="3173" b="5715"/>
            <wp:docPr id="68" name="Рисунок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940427" cy="2737485"/>
                    </a:xfrm>
                    <a:prstGeom prst="rect">
                      <a:avLst/>
                    </a:prstGeom>
                    <a:noFill/>
                    <a:ln>
                      <a:noFill/>
                      <a:prstDash/>
                    </a:ln>
                  </pic:spPr>
                </pic:pic>
              </a:graphicData>
            </a:graphic>
          </wp:inline>
        </w:drawing>
      </w:r>
    </w:p>
    <w:p w:rsidR="00E85D42" w:rsidRDefault="008113B9">
      <w:pPr>
        <w:jc w:val="center"/>
        <w:rPr>
          <w:i/>
          <w:sz w:val="24"/>
          <w:szCs w:val="24"/>
        </w:rPr>
      </w:pPr>
      <w:r>
        <w:rPr>
          <w:i/>
          <w:sz w:val="24"/>
          <w:szCs w:val="24"/>
        </w:rPr>
        <w:t>Диаграмма 3.1.3.21</w:t>
      </w:r>
    </w:p>
    <w:p w:rsidR="00E85D42" w:rsidRDefault="00E85D42">
      <w:pPr>
        <w:jc w:val="both"/>
        <w:rPr>
          <w:sz w:val="24"/>
          <w:szCs w:val="24"/>
        </w:rPr>
      </w:pPr>
    </w:p>
    <w:p w:rsidR="00E85D42" w:rsidRDefault="008113B9">
      <w:pPr>
        <w:ind w:firstLine="709"/>
        <w:jc w:val="both"/>
        <w:rPr>
          <w:sz w:val="24"/>
          <w:szCs w:val="24"/>
        </w:rPr>
      </w:pPr>
      <w:r>
        <w:rPr>
          <w:sz w:val="24"/>
          <w:szCs w:val="24"/>
        </w:rPr>
        <w:t xml:space="preserve">Доходы от использования государственного и муниципального имущества (аренда, проценты по кредитам), по данным Федерального Казначейства, </w:t>
      </w:r>
      <w:r>
        <w:rPr>
          <w:sz w:val="24"/>
          <w:szCs w:val="24"/>
        </w:rPr>
        <w:t>уменьшились на 0,4%, поступления по налогу на доходы физических лиц увеличились на 10,7%, по налогу на прибыль на 56,3%, поступление акцизов уменьшились на 1,9%, безвозмездных поступлений увеличились на 12,9%.</w:t>
      </w:r>
    </w:p>
    <w:p w:rsidR="00E85D42" w:rsidRDefault="00E85D42">
      <w:pPr>
        <w:jc w:val="both"/>
        <w:rPr>
          <w:sz w:val="24"/>
          <w:szCs w:val="24"/>
        </w:rPr>
      </w:pPr>
    </w:p>
    <w:p w:rsidR="00E85D42" w:rsidRDefault="008113B9">
      <w:pPr>
        <w:jc w:val="center"/>
      </w:pPr>
      <w:r>
        <w:rPr>
          <w:noProof/>
          <w:sz w:val="24"/>
          <w:szCs w:val="24"/>
        </w:rPr>
        <w:drawing>
          <wp:inline distT="0" distB="0" distL="0" distR="0">
            <wp:extent cx="4953003" cy="4257675"/>
            <wp:effectExtent l="0" t="0" r="0" b="9525"/>
            <wp:docPr id="69" name="Рисунок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953003" cy="4257675"/>
                    </a:xfrm>
                    <a:prstGeom prst="rect">
                      <a:avLst/>
                    </a:prstGeom>
                    <a:noFill/>
                    <a:ln>
                      <a:noFill/>
                      <a:prstDash/>
                    </a:ln>
                  </pic:spPr>
                </pic:pic>
              </a:graphicData>
            </a:graphic>
          </wp:inline>
        </w:drawing>
      </w:r>
    </w:p>
    <w:p w:rsidR="00E85D42" w:rsidRDefault="008113B9">
      <w:pPr>
        <w:jc w:val="center"/>
        <w:rPr>
          <w:i/>
          <w:sz w:val="24"/>
          <w:szCs w:val="24"/>
        </w:rPr>
      </w:pPr>
      <w:r>
        <w:rPr>
          <w:i/>
          <w:sz w:val="24"/>
          <w:szCs w:val="24"/>
        </w:rPr>
        <w:t>Диаграмма 3.1.3.22</w:t>
      </w:r>
    </w:p>
    <w:p w:rsidR="00E85D42" w:rsidRDefault="00E85D42">
      <w:pPr>
        <w:jc w:val="both"/>
        <w:rPr>
          <w:sz w:val="24"/>
          <w:szCs w:val="24"/>
        </w:rPr>
      </w:pPr>
    </w:p>
    <w:p w:rsidR="00E85D42" w:rsidRDefault="008113B9">
      <w:pPr>
        <w:jc w:val="center"/>
      </w:pPr>
      <w:r>
        <w:rPr>
          <w:noProof/>
          <w:sz w:val="24"/>
          <w:szCs w:val="24"/>
        </w:rPr>
        <w:drawing>
          <wp:inline distT="0" distB="0" distL="0" distR="0">
            <wp:extent cx="4714875" cy="4133846"/>
            <wp:effectExtent l="0" t="0" r="9525" b="4"/>
            <wp:docPr id="70" name="Рисунок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4714875" cy="4133846"/>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jc w:val="center"/>
        <w:rPr>
          <w:i/>
          <w:sz w:val="24"/>
          <w:szCs w:val="24"/>
        </w:rPr>
      </w:pPr>
      <w:r>
        <w:rPr>
          <w:i/>
          <w:sz w:val="24"/>
          <w:szCs w:val="24"/>
        </w:rPr>
        <w:t>Диаграмма 3.1.3.23</w:t>
      </w:r>
    </w:p>
    <w:p w:rsidR="00E85D42" w:rsidRDefault="00E85D42">
      <w:pPr>
        <w:jc w:val="both"/>
        <w:rPr>
          <w:sz w:val="24"/>
          <w:szCs w:val="24"/>
        </w:rPr>
      </w:pPr>
    </w:p>
    <w:tbl>
      <w:tblPr>
        <w:tblW w:w="5000" w:type="pct"/>
        <w:tblCellMar>
          <w:left w:w="10" w:type="dxa"/>
          <w:right w:w="10" w:type="dxa"/>
        </w:tblCellMar>
        <w:tblLook w:val="04A0" w:firstRow="1" w:lastRow="0" w:firstColumn="1" w:lastColumn="0" w:noHBand="0" w:noVBand="1"/>
      </w:tblPr>
      <w:tblGrid>
        <w:gridCol w:w="3167"/>
        <w:gridCol w:w="1560"/>
        <w:gridCol w:w="2135"/>
        <w:gridCol w:w="2508"/>
      </w:tblGrid>
      <w:tr w:rsidR="00E85D42">
        <w:tblPrEx>
          <w:tblCellMar>
            <w:top w:w="0" w:type="dxa"/>
            <w:bottom w:w="0" w:type="dxa"/>
          </w:tblCellMar>
        </w:tblPrEx>
        <w:tc>
          <w:tcPr>
            <w:tcW w:w="316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Расходы по ФКР</w:t>
            </w:r>
          </w:p>
        </w:tc>
        <w:tc>
          <w:tcPr>
            <w:tcW w:w="15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План, млн.руб.</w:t>
            </w:r>
          </w:p>
        </w:tc>
        <w:tc>
          <w:tcPr>
            <w:tcW w:w="213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Исполнено, млн.руб.</w:t>
            </w:r>
          </w:p>
        </w:tc>
        <w:tc>
          <w:tcPr>
            <w:tcW w:w="250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Процент исполнения, %</w:t>
            </w:r>
          </w:p>
        </w:tc>
      </w:tr>
      <w:tr w:rsidR="00E85D42">
        <w:tblPrEx>
          <w:tblCellMar>
            <w:top w:w="0" w:type="dxa"/>
            <w:bottom w:w="0" w:type="dxa"/>
          </w:tblCellMar>
        </w:tblPrEx>
        <w:tc>
          <w:tcPr>
            <w:tcW w:w="316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Расходы бюджета из них:</w:t>
            </w:r>
          </w:p>
        </w:tc>
        <w:tc>
          <w:tcPr>
            <w:tcW w:w="15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231425,2</w:t>
            </w:r>
          </w:p>
        </w:tc>
        <w:tc>
          <w:tcPr>
            <w:tcW w:w="213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215269,3</w:t>
            </w:r>
          </w:p>
        </w:tc>
        <w:tc>
          <w:tcPr>
            <w:tcW w:w="250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93,0</w:t>
            </w:r>
          </w:p>
        </w:tc>
      </w:tr>
      <w:tr w:rsidR="00E85D42">
        <w:tblPrEx>
          <w:tblCellMar>
            <w:top w:w="0" w:type="dxa"/>
            <w:bottom w:w="0" w:type="dxa"/>
          </w:tblCellMar>
        </w:tblPrEx>
        <w:tc>
          <w:tcPr>
            <w:tcW w:w="316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Общегосударственные вопросы</w:t>
            </w:r>
          </w:p>
        </w:tc>
        <w:tc>
          <w:tcPr>
            <w:tcW w:w="15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17950,7</w:t>
            </w:r>
          </w:p>
        </w:tc>
        <w:tc>
          <w:tcPr>
            <w:tcW w:w="213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17607,7</w:t>
            </w:r>
          </w:p>
        </w:tc>
        <w:tc>
          <w:tcPr>
            <w:tcW w:w="250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98,1</w:t>
            </w:r>
          </w:p>
        </w:tc>
      </w:tr>
      <w:tr w:rsidR="00E85D42">
        <w:tblPrEx>
          <w:tblCellMar>
            <w:top w:w="0" w:type="dxa"/>
            <w:bottom w:w="0" w:type="dxa"/>
          </w:tblCellMar>
        </w:tblPrEx>
        <w:tc>
          <w:tcPr>
            <w:tcW w:w="316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Национальная экономика</w:t>
            </w:r>
          </w:p>
        </w:tc>
        <w:tc>
          <w:tcPr>
            <w:tcW w:w="15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45221,8</w:t>
            </w:r>
          </w:p>
        </w:tc>
        <w:tc>
          <w:tcPr>
            <w:tcW w:w="213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35949,6</w:t>
            </w:r>
          </w:p>
        </w:tc>
        <w:tc>
          <w:tcPr>
            <w:tcW w:w="250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79,5</w:t>
            </w:r>
          </w:p>
        </w:tc>
      </w:tr>
      <w:tr w:rsidR="00E85D42">
        <w:tblPrEx>
          <w:tblCellMar>
            <w:top w:w="0" w:type="dxa"/>
            <w:bottom w:w="0" w:type="dxa"/>
          </w:tblCellMar>
        </w:tblPrEx>
        <w:tc>
          <w:tcPr>
            <w:tcW w:w="316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ЖКХ</w:t>
            </w:r>
          </w:p>
        </w:tc>
        <w:tc>
          <w:tcPr>
            <w:tcW w:w="15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13086,0</w:t>
            </w:r>
          </w:p>
        </w:tc>
        <w:tc>
          <w:tcPr>
            <w:tcW w:w="213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12163,1</w:t>
            </w:r>
          </w:p>
        </w:tc>
        <w:tc>
          <w:tcPr>
            <w:tcW w:w="250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92,9</w:t>
            </w:r>
          </w:p>
        </w:tc>
      </w:tr>
      <w:tr w:rsidR="00E85D42">
        <w:tblPrEx>
          <w:tblCellMar>
            <w:top w:w="0" w:type="dxa"/>
            <w:bottom w:w="0" w:type="dxa"/>
          </w:tblCellMar>
        </w:tblPrEx>
        <w:tc>
          <w:tcPr>
            <w:tcW w:w="316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Образование</w:t>
            </w:r>
          </w:p>
        </w:tc>
        <w:tc>
          <w:tcPr>
            <w:tcW w:w="15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67307,0</w:t>
            </w:r>
          </w:p>
        </w:tc>
        <w:tc>
          <w:tcPr>
            <w:tcW w:w="213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65769,3</w:t>
            </w:r>
          </w:p>
        </w:tc>
        <w:tc>
          <w:tcPr>
            <w:tcW w:w="250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97,7</w:t>
            </w:r>
          </w:p>
        </w:tc>
      </w:tr>
      <w:tr w:rsidR="00E85D42">
        <w:tblPrEx>
          <w:tblCellMar>
            <w:top w:w="0" w:type="dxa"/>
            <w:bottom w:w="0" w:type="dxa"/>
          </w:tblCellMar>
        </w:tblPrEx>
        <w:tc>
          <w:tcPr>
            <w:tcW w:w="316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Здравоохранение и спорт</w:t>
            </w:r>
          </w:p>
        </w:tc>
        <w:tc>
          <w:tcPr>
            <w:tcW w:w="15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20021,6</w:t>
            </w:r>
          </w:p>
        </w:tc>
        <w:tc>
          <w:tcPr>
            <w:tcW w:w="213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19001,6</w:t>
            </w:r>
          </w:p>
        </w:tc>
        <w:tc>
          <w:tcPr>
            <w:tcW w:w="250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94,9</w:t>
            </w:r>
          </w:p>
        </w:tc>
      </w:tr>
      <w:tr w:rsidR="00E85D42">
        <w:tblPrEx>
          <w:tblCellMar>
            <w:top w:w="0" w:type="dxa"/>
            <w:bottom w:w="0" w:type="dxa"/>
          </w:tblCellMar>
        </w:tblPrEx>
        <w:tc>
          <w:tcPr>
            <w:tcW w:w="316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Социальная политика</w:t>
            </w:r>
          </w:p>
        </w:tc>
        <w:tc>
          <w:tcPr>
            <w:tcW w:w="15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48586,1</w:t>
            </w:r>
          </w:p>
        </w:tc>
        <w:tc>
          <w:tcPr>
            <w:tcW w:w="213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46614,1</w:t>
            </w:r>
          </w:p>
        </w:tc>
        <w:tc>
          <w:tcPr>
            <w:tcW w:w="250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95,9</w:t>
            </w:r>
          </w:p>
        </w:tc>
      </w:tr>
    </w:tbl>
    <w:p w:rsidR="00E85D42" w:rsidRDefault="00E85D42">
      <w:pPr>
        <w:jc w:val="both"/>
        <w:rPr>
          <w:sz w:val="24"/>
          <w:szCs w:val="24"/>
        </w:rPr>
      </w:pPr>
    </w:p>
    <w:p w:rsidR="00E85D42" w:rsidRDefault="008113B9">
      <w:pPr>
        <w:ind w:firstLine="709"/>
        <w:jc w:val="both"/>
        <w:rPr>
          <w:sz w:val="24"/>
          <w:szCs w:val="24"/>
        </w:rPr>
      </w:pPr>
      <w:r>
        <w:rPr>
          <w:sz w:val="24"/>
          <w:szCs w:val="24"/>
        </w:rPr>
        <w:t>По итогам за январь-декабрь 2018 года расходы консолидированного бюджета исполнены на 93,0%, в том числе по статьям «Национальная экономика» – на</w:t>
      </w:r>
      <w:r>
        <w:rPr>
          <w:sz w:val="24"/>
          <w:szCs w:val="24"/>
        </w:rPr>
        <w:t xml:space="preserve"> 79,5%, «Социальная политика» – на 95,9%. По сравнению с прошлым годом в январе-декабре 2018 года расходы увеличились на 25 962,3 млн. руб. (13,7%) и составили 215 269,3 млн. руб.</w:t>
      </w:r>
    </w:p>
    <w:p w:rsidR="00E85D42" w:rsidRDefault="008113B9">
      <w:pPr>
        <w:ind w:firstLine="709"/>
        <w:jc w:val="both"/>
        <w:rPr>
          <w:sz w:val="24"/>
          <w:szCs w:val="24"/>
        </w:rPr>
      </w:pPr>
      <w:r>
        <w:rPr>
          <w:sz w:val="24"/>
          <w:szCs w:val="24"/>
        </w:rPr>
        <w:t>Наиболее значительно увеличены расходы на статью «Общегосударственные вопрос</w:t>
      </w:r>
      <w:r>
        <w:rPr>
          <w:sz w:val="24"/>
          <w:szCs w:val="24"/>
        </w:rPr>
        <w:t>ы» (на 36,9%), на «Здравоохранение и спорт» (на 27,5%). Наиболее сильно сокращение расходов коснулось разделов «ЖКХ» (на 3,9%).</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908935"/>
            <wp:effectExtent l="0" t="0" r="3173" b="5715"/>
            <wp:docPr id="71" name="Рисунок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940427" cy="2908935"/>
                    </a:xfrm>
                    <a:prstGeom prst="rect">
                      <a:avLst/>
                    </a:prstGeom>
                    <a:noFill/>
                    <a:ln>
                      <a:noFill/>
                      <a:prstDash/>
                    </a:ln>
                  </pic:spPr>
                </pic:pic>
              </a:graphicData>
            </a:graphic>
          </wp:inline>
        </w:drawing>
      </w:r>
    </w:p>
    <w:p w:rsidR="00E85D42" w:rsidRDefault="008113B9">
      <w:pPr>
        <w:jc w:val="center"/>
        <w:rPr>
          <w:i/>
          <w:sz w:val="24"/>
          <w:szCs w:val="24"/>
        </w:rPr>
      </w:pPr>
      <w:r>
        <w:rPr>
          <w:i/>
          <w:sz w:val="24"/>
          <w:szCs w:val="24"/>
        </w:rPr>
        <w:t>Диаграмма 3.1.3.24</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На 01 января 2019 года в бюджеты всех уровней поступило налоговых и неналоговых платежей на сумму 199 871</w:t>
      </w:r>
      <w:r>
        <w:rPr>
          <w:sz w:val="24"/>
          <w:szCs w:val="24"/>
        </w:rPr>
        <w:t>,7 млн. руб., из них 99,9% в консолидированный бюджет Республики Башкортостан.</w:t>
      </w:r>
    </w:p>
    <w:p w:rsidR="00E85D42" w:rsidRDefault="008113B9">
      <w:pPr>
        <w:ind w:firstLine="709"/>
        <w:jc w:val="both"/>
        <w:rPr>
          <w:sz w:val="24"/>
          <w:szCs w:val="24"/>
        </w:rPr>
      </w:pPr>
      <w:r>
        <w:rPr>
          <w:sz w:val="24"/>
          <w:szCs w:val="24"/>
        </w:rPr>
        <w:t>По сравнению с аналогичным периодом прошлого года поступление налогов, сборов и иных обязательных платежей в бюджеты всех уровней выросло на 20,7%.</w:t>
      </w: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 xml:space="preserve">Предприятия. Прибыль. </w:t>
      </w:r>
      <w:r>
        <w:rPr>
          <w:b/>
          <w:i/>
          <w:sz w:val="24"/>
          <w:szCs w:val="24"/>
        </w:rPr>
        <w:t>Неплатежи</w:t>
      </w:r>
    </w:p>
    <w:p w:rsidR="00E85D42" w:rsidRDefault="008113B9">
      <w:pPr>
        <w:ind w:firstLine="709"/>
        <w:jc w:val="both"/>
        <w:rPr>
          <w:sz w:val="24"/>
          <w:szCs w:val="24"/>
        </w:rPr>
      </w:pPr>
      <w:r>
        <w:rPr>
          <w:sz w:val="24"/>
          <w:szCs w:val="24"/>
        </w:rPr>
        <w:t>По имеющимся данным статистики, в январе-ноябре 2018 года сальдированный финансовый результат крупных и средних предприятий и организаций Республики Башкортостан составил 219 900,0 млн. рублей (в январе-ноябре 2017 года – 161 207,0 млн. рублей).</w:t>
      </w:r>
    </w:p>
    <w:p w:rsidR="00E85D42" w:rsidRDefault="008113B9">
      <w:pPr>
        <w:ind w:firstLine="709"/>
        <w:jc w:val="both"/>
        <w:rPr>
          <w:sz w:val="24"/>
          <w:szCs w:val="24"/>
        </w:rPr>
      </w:pPr>
      <w:r>
        <w:rPr>
          <w:sz w:val="24"/>
          <w:szCs w:val="24"/>
        </w:rPr>
        <w:t>С убытками отчетный период завершили 24,8% всех организаций республики. Сальдированный финансовый результат организаций в разрезе видов экономической деятельности представлен на диаграммах:</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2105662"/>
            <wp:effectExtent l="0" t="0" r="3173" b="8888"/>
            <wp:docPr id="72" name="Рисунок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940427" cy="2105662"/>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3.1.3.25</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2787018"/>
            <wp:effectExtent l="0" t="0" r="3173" b="0"/>
            <wp:docPr id="73" name="Рисунок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940427" cy="2787018"/>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3.1.3.26</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563492"/>
            <wp:effectExtent l="0" t="0" r="3173" b="8258"/>
            <wp:docPr id="74" name="Рисунок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940427" cy="2563492"/>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3.1.3.27</w:t>
      </w: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Население. Финансы населения. Задолженность по заработной плате</w:t>
      </w:r>
    </w:p>
    <w:p w:rsidR="00E85D42" w:rsidRDefault="008113B9">
      <w:pPr>
        <w:ind w:firstLine="709"/>
        <w:jc w:val="both"/>
        <w:rPr>
          <w:sz w:val="24"/>
          <w:szCs w:val="24"/>
        </w:rPr>
      </w:pPr>
      <w:r>
        <w:rPr>
          <w:sz w:val="24"/>
          <w:szCs w:val="24"/>
        </w:rPr>
        <w:t>Реальные располагаемые доходы населения Республики Башкортостан (доходы за вычетом обязательных платежей, скорректированные на индекс потребительских цен) в ноябре 2018 года, по оценке, снизи</w:t>
      </w:r>
      <w:r>
        <w:rPr>
          <w:sz w:val="24"/>
          <w:szCs w:val="24"/>
        </w:rPr>
        <w:t>лись на 5,6% к соответствующему периоду прошлого года. С начала года их сокращение составило 3,9%.</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225036"/>
            <wp:effectExtent l="0" t="0" r="3173" b="3814"/>
            <wp:docPr id="75" name="Рисунок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940427" cy="2225036"/>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3.1.3.28</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В расчёте на одного жителя республики денежный доход в ноябре 2018 года составил 31 920,0 рублей.</w:t>
      </w:r>
    </w:p>
    <w:p w:rsidR="00E85D42" w:rsidRDefault="008113B9">
      <w:pPr>
        <w:ind w:firstLine="709"/>
        <w:jc w:val="both"/>
        <w:rPr>
          <w:sz w:val="24"/>
          <w:szCs w:val="24"/>
        </w:rPr>
      </w:pPr>
      <w:r>
        <w:rPr>
          <w:sz w:val="24"/>
          <w:szCs w:val="24"/>
        </w:rPr>
        <w:t>Среднемесячная начисленная заработна</w:t>
      </w:r>
      <w:r>
        <w:rPr>
          <w:sz w:val="24"/>
          <w:szCs w:val="24"/>
        </w:rPr>
        <w:t>я плата в январе-ноябре 2018 года составила 32 410,0 рублей и по сравнению с аналогичным периодом прошлого года выросла на 9,2%. За январь-ноябрь 2018 года относительно аналогичного периода прошлого года реальная заработная плата увеличилась на 6,9%, по ср</w:t>
      </w:r>
      <w:r>
        <w:rPr>
          <w:sz w:val="24"/>
          <w:szCs w:val="24"/>
        </w:rPr>
        <w:t>авнению с ноябрем 2018 года увеличилась на 4,4%.</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595240"/>
            <wp:effectExtent l="0" t="0" r="3173" b="0"/>
            <wp:docPr id="76" name="Рисунок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940427" cy="2595240"/>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3.1.3.29</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Уровень заработной платы в январе-ноябре 2018 года по виду экономической деятельности «Добыча полезных ископаемых» составил 58 149,0 рублей, по виду деятельности «Обеспечение электриче</w:t>
      </w:r>
      <w:r>
        <w:rPr>
          <w:sz w:val="24"/>
          <w:szCs w:val="24"/>
        </w:rPr>
        <w:t>ской энергией, газом и паром; кондиционирование воздуха» – 41 312,2 рубля, по виду деятельности «Обрабатывающие производства» – 36 071,6 рублей.</w:t>
      </w:r>
    </w:p>
    <w:p w:rsidR="00E85D42" w:rsidRDefault="008113B9">
      <w:pPr>
        <w:ind w:firstLine="709"/>
        <w:jc w:val="both"/>
        <w:rPr>
          <w:sz w:val="24"/>
          <w:szCs w:val="24"/>
        </w:rPr>
      </w:pPr>
      <w:r>
        <w:rPr>
          <w:sz w:val="24"/>
          <w:szCs w:val="24"/>
        </w:rPr>
        <w:t>По данным статистики, просроченная задолженность по заработной плате по кругу наблюдаемых видов экономической д</w:t>
      </w:r>
      <w:r>
        <w:rPr>
          <w:sz w:val="24"/>
          <w:szCs w:val="24"/>
        </w:rPr>
        <w:t>еятельности на 1 декабря 2018 года составила 25 873,0 тыс. рублей.</w:t>
      </w:r>
    </w:p>
    <w:p w:rsidR="00E85D42" w:rsidRDefault="008113B9">
      <w:pPr>
        <w:ind w:firstLine="709"/>
        <w:jc w:val="both"/>
        <w:rPr>
          <w:sz w:val="24"/>
          <w:szCs w:val="24"/>
        </w:rPr>
      </w:pPr>
      <w:r>
        <w:rPr>
          <w:sz w:val="24"/>
          <w:szCs w:val="24"/>
        </w:rPr>
        <w:t>По состоянию на 1 декабря 2018 года размер просроченной задолженности в расчёте на одного работника составлял по наблюдаемому кругу организаций 62 195,0 рублей.</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2734312"/>
            <wp:effectExtent l="0" t="0" r="3173" b="8888"/>
            <wp:docPr id="77" name="Рисунок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5940427" cy="2734312"/>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Диаграмма3.1.3.30</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 xml:space="preserve">В III </w:t>
      </w:r>
      <w:r>
        <w:rPr>
          <w:sz w:val="24"/>
          <w:szCs w:val="24"/>
        </w:rPr>
        <w:t>квартале 2018 года средний размер назначенных месячных пенсий составил 12 829,1 рублей.</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781678" cy="3257550"/>
            <wp:effectExtent l="0" t="0" r="9522" b="0"/>
            <wp:docPr id="78" name="Рисунок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5781678" cy="3257550"/>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3.1.3.31</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Рынок труда</w:t>
      </w:r>
    </w:p>
    <w:p w:rsidR="00E85D42" w:rsidRDefault="008113B9">
      <w:pPr>
        <w:ind w:firstLine="709"/>
        <w:jc w:val="both"/>
        <w:rPr>
          <w:sz w:val="24"/>
          <w:szCs w:val="24"/>
        </w:rPr>
      </w:pPr>
      <w:r>
        <w:rPr>
          <w:sz w:val="24"/>
          <w:szCs w:val="24"/>
        </w:rPr>
        <w:t>В декабре 2018 года численность не занятых трудовой деятельностью граждан, состоящих на учете в органах государственной службы занят</w:t>
      </w:r>
      <w:r>
        <w:rPr>
          <w:sz w:val="24"/>
          <w:szCs w:val="24"/>
        </w:rPr>
        <w:t>ости, составила 20,2 тыс.человек. Из числа обратившихся были признаны безработными 19,6 тыс. человек. Уровень зарегистрированной безработицы в декабре 2018 года составляет 1,0% к численности экономически активного населения, в декабре 2017 года – 1,0%.</w:t>
      </w:r>
    </w:p>
    <w:p w:rsidR="00E85D42" w:rsidRDefault="008113B9">
      <w:pPr>
        <w:ind w:firstLine="709"/>
        <w:jc w:val="both"/>
        <w:rPr>
          <w:sz w:val="24"/>
          <w:szCs w:val="24"/>
        </w:rPr>
      </w:pPr>
      <w:r>
        <w:rPr>
          <w:sz w:val="24"/>
          <w:szCs w:val="24"/>
        </w:rPr>
        <w:t>Чис</w:t>
      </w:r>
      <w:r>
        <w:rPr>
          <w:sz w:val="24"/>
          <w:szCs w:val="24"/>
        </w:rPr>
        <w:t>ленность безработных граждан, рассчитанная по методологии МОТ, в декабре 2018 года составила 89,5 тыс. человек, что в 0,8 раз меньше, чем в аналогичном периоде прошлого года. Уровень безработицы по методологии МОТ составил 4,6%</w:t>
      </w:r>
    </w:p>
    <w:p w:rsidR="00E85D42" w:rsidRDefault="008113B9">
      <w:pPr>
        <w:jc w:val="both"/>
      </w:pPr>
      <w:r>
        <w:rPr>
          <w:noProof/>
          <w:sz w:val="24"/>
          <w:szCs w:val="24"/>
        </w:rPr>
        <w:drawing>
          <wp:inline distT="0" distB="0" distL="0" distR="0">
            <wp:extent cx="5743575" cy="2809878"/>
            <wp:effectExtent l="0" t="0" r="9525" b="9522"/>
            <wp:docPr id="79" name="Рисунок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743575" cy="2809878"/>
                    </a:xfrm>
                    <a:prstGeom prst="rect">
                      <a:avLst/>
                    </a:prstGeom>
                    <a:noFill/>
                    <a:ln>
                      <a:noFill/>
                      <a:prstDash/>
                    </a:ln>
                  </pic:spPr>
                </pic:pic>
              </a:graphicData>
            </a:graphic>
          </wp:inline>
        </w:drawing>
      </w:r>
    </w:p>
    <w:p w:rsidR="00E85D42" w:rsidRDefault="008113B9">
      <w:pPr>
        <w:ind w:firstLine="709"/>
        <w:jc w:val="center"/>
        <w:rPr>
          <w:i/>
          <w:sz w:val="24"/>
          <w:szCs w:val="24"/>
        </w:rPr>
      </w:pPr>
      <w:r>
        <w:rPr>
          <w:i/>
          <w:sz w:val="24"/>
          <w:szCs w:val="24"/>
        </w:rPr>
        <w:t>Диаграмма 3.1.3.32</w:t>
      </w: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Уровен</w:t>
      </w:r>
      <w:r>
        <w:rPr>
          <w:b/>
          <w:i/>
          <w:sz w:val="24"/>
          <w:szCs w:val="24"/>
        </w:rPr>
        <w:t>ь преступности</w:t>
      </w:r>
    </w:p>
    <w:p w:rsidR="00E85D42" w:rsidRDefault="008113B9">
      <w:pPr>
        <w:ind w:firstLine="709"/>
        <w:jc w:val="both"/>
        <w:rPr>
          <w:sz w:val="24"/>
          <w:szCs w:val="24"/>
        </w:rPr>
      </w:pPr>
      <w:r>
        <w:rPr>
          <w:sz w:val="24"/>
          <w:szCs w:val="24"/>
        </w:rPr>
        <w:t>Уровень преступности в Республике Башкортостан имеет тенденцию к снижению : в декабре 2018 года число зарегистрированных преступлений составило, по предварительным данным, 5431 против 6376 преступлений в аналогичном периоде прошлого года. Чи</w:t>
      </w:r>
      <w:r>
        <w:rPr>
          <w:sz w:val="24"/>
          <w:szCs w:val="24"/>
        </w:rPr>
        <w:t>сло зарегистрированных преступлений в декабре 2018 года по сравнению с аналогичным месяцем предыдущего года составляет 85,2%.</w:t>
      </w:r>
    </w:p>
    <w:p w:rsidR="00E85D42" w:rsidRDefault="00E85D42">
      <w:pPr>
        <w:ind w:firstLine="709"/>
        <w:jc w:val="both"/>
        <w:rPr>
          <w:sz w:val="24"/>
          <w:szCs w:val="24"/>
        </w:rPr>
      </w:pPr>
    </w:p>
    <w:tbl>
      <w:tblPr>
        <w:tblW w:w="5000" w:type="pct"/>
        <w:tblCellMar>
          <w:left w:w="10" w:type="dxa"/>
          <w:right w:w="10" w:type="dxa"/>
        </w:tblCellMar>
        <w:tblLook w:val="04A0" w:firstRow="1" w:lastRow="0" w:firstColumn="1" w:lastColumn="0" w:noHBand="0" w:noVBand="1"/>
      </w:tblPr>
      <w:tblGrid>
        <w:gridCol w:w="3824"/>
        <w:gridCol w:w="995"/>
        <w:gridCol w:w="1778"/>
        <w:gridCol w:w="995"/>
        <w:gridCol w:w="1778"/>
      </w:tblGrid>
      <w:tr w:rsidR="00E85D42">
        <w:tblPrEx>
          <w:tblCellMar>
            <w:top w:w="0" w:type="dxa"/>
            <w:bottom w:w="0" w:type="dxa"/>
          </w:tblCellMar>
        </w:tblPrEx>
        <w:tc>
          <w:tcPr>
            <w:tcW w:w="3824"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Показатель</w:t>
            </w:r>
          </w:p>
        </w:tc>
        <w:tc>
          <w:tcPr>
            <w:tcW w:w="2773" w:type="dxa"/>
            <w:gridSpan w:val="2"/>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декабрь 2017</w:t>
            </w:r>
          </w:p>
        </w:tc>
        <w:tc>
          <w:tcPr>
            <w:tcW w:w="2773" w:type="dxa"/>
            <w:gridSpan w:val="2"/>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декабрь 2018</w:t>
            </w:r>
          </w:p>
        </w:tc>
      </w:tr>
      <w:tr w:rsidR="00E85D42">
        <w:tblPrEx>
          <w:tblCellMar>
            <w:top w:w="0" w:type="dxa"/>
            <w:bottom w:w="0" w:type="dxa"/>
          </w:tblCellMar>
        </w:tblPrEx>
        <w:tc>
          <w:tcPr>
            <w:tcW w:w="3824" w:type="dxa"/>
            <w:vMerge/>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E85D42">
            <w:pPr>
              <w:jc w:val="both"/>
              <w:rPr>
                <w:sz w:val="24"/>
                <w:szCs w:val="24"/>
              </w:rPr>
            </w:pP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значение</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в % к </w:t>
            </w:r>
            <w:r>
              <w:rPr>
                <w:b/>
                <w:bCs/>
                <w:sz w:val="24"/>
                <w:szCs w:val="24"/>
              </w:rPr>
              <w:br/>
            </w:r>
            <w:r>
              <w:rPr>
                <w:b/>
                <w:bCs/>
                <w:sz w:val="24"/>
                <w:szCs w:val="24"/>
              </w:rPr>
              <w:t>предыдущему периоду</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значение</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pPr>
            <w:r>
              <w:rPr>
                <w:b/>
                <w:bCs/>
                <w:sz w:val="24"/>
                <w:szCs w:val="24"/>
              </w:rPr>
              <w:t>в % к </w:t>
            </w:r>
            <w:r>
              <w:rPr>
                <w:b/>
                <w:bCs/>
                <w:sz w:val="24"/>
                <w:szCs w:val="24"/>
              </w:rPr>
              <w:br/>
            </w:r>
            <w:r>
              <w:rPr>
                <w:b/>
                <w:bCs/>
                <w:sz w:val="24"/>
                <w:szCs w:val="24"/>
              </w:rPr>
              <w:t>предыдущему периоду</w:t>
            </w:r>
          </w:p>
        </w:tc>
      </w:tr>
      <w:tr w:rsidR="00E85D42">
        <w:tblPrEx>
          <w:tblCellMar>
            <w:top w:w="0" w:type="dxa"/>
            <w:bottom w:w="0" w:type="dxa"/>
          </w:tblCellMar>
        </w:tblPrEx>
        <w:tc>
          <w:tcPr>
            <w:tcW w:w="382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 xml:space="preserve">Количество </w:t>
            </w:r>
            <w:r>
              <w:rPr>
                <w:sz w:val="24"/>
                <w:szCs w:val="24"/>
              </w:rPr>
              <w:t>зарегистрированных преступлений, случаев</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6 376</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109,7</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5 431</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85,2</w:t>
            </w:r>
          </w:p>
        </w:tc>
      </w:tr>
      <w:tr w:rsidR="00E85D42">
        <w:tblPrEx>
          <w:tblCellMar>
            <w:top w:w="0" w:type="dxa"/>
            <w:bottom w:w="0" w:type="dxa"/>
          </w:tblCellMar>
        </w:tblPrEx>
        <w:tc>
          <w:tcPr>
            <w:tcW w:w="382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убийство и покушение на убийство, случаев</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38</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135,7</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36</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94,7</w:t>
            </w:r>
          </w:p>
        </w:tc>
      </w:tr>
      <w:tr w:rsidR="00E85D42">
        <w:tblPrEx>
          <w:tblCellMar>
            <w:top w:w="0" w:type="dxa"/>
            <w:bottom w:w="0" w:type="dxa"/>
          </w:tblCellMar>
        </w:tblPrEx>
        <w:tc>
          <w:tcPr>
            <w:tcW w:w="382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умышленное причинение тяжкого вреда здоровью, случаев</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65</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86,7</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57</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87,7</w:t>
            </w:r>
          </w:p>
        </w:tc>
      </w:tr>
      <w:tr w:rsidR="00E85D42">
        <w:tblPrEx>
          <w:tblCellMar>
            <w:top w:w="0" w:type="dxa"/>
            <w:bottom w:w="0" w:type="dxa"/>
          </w:tblCellMar>
        </w:tblPrEx>
        <w:tc>
          <w:tcPr>
            <w:tcW w:w="382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изнасилование и покушение на изнасилование, случаев</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8</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47,1</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11</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137,5</w:t>
            </w:r>
          </w:p>
        </w:tc>
      </w:tr>
      <w:tr w:rsidR="00E85D42">
        <w:tblPrEx>
          <w:tblCellMar>
            <w:top w:w="0" w:type="dxa"/>
            <w:bottom w:w="0" w:type="dxa"/>
          </w:tblCellMar>
        </w:tblPrEx>
        <w:tc>
          <w:tcPr>
            <w:tcW w:w="382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разбой, случаев</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31</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114,8</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16</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51,6</w:t>
            </w:r>
          </w:p>
        </w:tc>
      </w:tr>
      <w:tr w:rsidR="00E85D42">
        <w:tblPrEx>
          <w:tblCellMar>
            <w:top w:w="0" w:type="dxa"/>
            <w:bottom w:w="0" w:type="dxa"/>
          </w:tblCellMar>
        </w:tblPrEx>
        <w:tc>
          <w:tcPr>
            <w:tcW w:w="382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грабеж, случаев</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169</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136,3</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123</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72,8</w:t>
            </w:r>
          </w:p>
        </w:tc>
      </w:tr>
      <w:tr w:rsidR="00E85D42">
        <w:tblPrEx>
          <w:tblCellMar>
            <w:top w:w="0" w:type="dxa"/>
            <w:bottom w:w="0" w:type="dxa"/>
          </w:tblCellMar>
        </w:tblPrEx>
        <w:tc>
          <w:tcPr>
            <w:tcW w:w="382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кража, случаев</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2466</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120,5</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2187</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88,7</w:t>
            </w:r>
          </w:p>
        </w:tc>
      </w:tr>
      <w:tr w:rsidR="00E85D42">
        <w:tblPrEx>
          <w:tblCellMar>
            <w:top w:w="0" w:type="dxa"/>
            <w:bottom w:w="0" w:type="dxa"/>
          </w:tblCellMar>
        </w:tblPrEx>
        <w:tc>
          <w:tcPr>
            <w:tcW w:w="382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Преступления, связанные с незаконным оборотом наркотиков, случаев</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496</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103,5</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486</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98,0</w:t>
            </w:r>
          </w:p>
        </w:tc>
      </w:tr>
      <w:tr w:rsidR="00E85D42">
        <w:tblPrEx>
          <w:tblCellMar>
            <w:top w:w="0" w:type="dxa"/>
            <w:bottom w:w="0" w:type="dxa"/>
          </w:tblCellMar>
        </w:tblPrEx>
        <w:tc>
          <w:tcPr>
            <w:tcW w:w="382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both"/>
              <w:rPr>
                <w:sz w:val="24"/>
                <w:szCs w:val="24"/>
              </w:rPr>
            </w:pPr>
            <w:r>
              <w:rPr>
                <w:sz w:val="24"/>
                <w:szCs w:val="24"/>
              </w:rPr>
              <w:t xml:space="preserve">Из общего числа зарегистрированных преступлений </w:t>
            </w:r>
            <w:r>
              <w:rPr>
                <w:sz w:val="24"/>
                <w:szCs w:val="24"/>
              </w:rPr>
              <w:t>тяжкие и особо тяжкие, случаев</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1127</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104,8</w:t>
            </w:r>
          </w:p>
        </w:tc>
        <w:tc>
          <w:tcPr>
            <w:tcW w:w="9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1192</w:t>
            </w:r>
          </w:p>
        </w:tc>
        <w:tc>
          <w:tcPr>
            <w:tcW w:w="177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85D42" w:rsidRDefault="008113B9">
            <w:pPr>
              <w:jc w:val="center"/>
              <w:rPr>
                <w:sz w:val="24"/>
                <w:szCs w:val="24"/>
              </w:rPr>
            </w:pPr>
            <w:r>
              <w:rPr>
                <w:sz w:val="24"/>
                <w:szCs w:val="24"/>
              </w:rPr>
              <w:t>105,8</w:t>
            </w:r>
          </w:p>
        </w:tc>
      </w:tr>
    </w:tbl>
    <w:p w:rsidR="00E85D42" w:rsidRDefault="00E85D42">
      <w:pPr>
        <w:jc w:val="both"/>
        <w:rPr>
          <w:sz w:val="24"/>
          <w:szCs w:val="24"/>
        </w:rPr>
      </w:pPr>
    </w:p>
    <w:p w:rsidR="00E85D42" w:rsidRDefault="00E85D42">
      <w:pPr>
        <w:jc w:val="both"/>
        <w:rPr>
          <w:sz w:val="24"/>
          <w:szCs w:val="24"/>
        </w:rPr>
      </w:pPr>
    </w:p>
    <w:p w:rsidR="00E85D42" w:rsidRDefault="00E85D42">
      <w:pPr>
        <w:jc w:val="both"/>
        <w:rPr>
          <w:sz w:val="24"/>
          <w:szCs w:val="24"/>
        </w:rPr>
      </w:pPr>
    </w:p>
    <w:p w:rsidR="00E85D42" w:rsidRDefault="008113B9">
      <w:pPr>
        <w:ind w:firstLine="709"/>
        <w:jc w:val="center"/>
      </w:pPr>
      <w:r>
        <w:rPr>
          <w:b/>
          <w:sz w:val="24"/>
          <w:szCs w:val="24"/>
        </w:rPr>
        <w:t xml:space="preserve">3.1.4. Общая информация по </w:t>
      </w:r>
      <w:bookmarkEnd w:id="116"/>
      <w:bookmarkEnd w:id="117"/>
      <w:bookmarkEnd w:id="118"/>
      <w:bookmarkEnd w:id="119"/>
      <w:r>
        <w:rPr>
          <w:b/>
          <w:sz w:val="24"/>
          <w:szCs w:val="24"/>
        </w:rPr>
        <w:t>земельным участкам</w:t>
      </w:r>
      <w:r>
        <w:rPr>
          <w:sz w:val="24"/>
          <w:szCs w:val="24"/>
        </w:rPr>
        <w:t xml:space="preserve"> </w:t>
      </w:r>
      <w:r>
        <w:rPr>
          <w:b/>
          <w:sz w:val="24"/>
          <w:szCs w:val="24"/>
        </w:rPr>
        <w:t>Республики Башкортостан</w:t>
      </w:r>
      <w:r>
        <w:rPr>
          <w:b/>
          <w:sz w:val="24"/>
          <w:szCs w:val="24"/>
          <w:vertAlign w:val="superscript"/>
        </w:rPr>
        <w:footnoteReference w:id="10"/>
      </w:r>
    </w:p>
    <w:p w:rsidR="00E85D42" w:rsidRDefault="008113B9">
      <w:pPr>
        <w:ind w:firstLine="709"/>
        <w:jc w:val="both"/>
        <w:rPr>
          <w:sz w:val="24"/>
          <w:szCs w:val="24"/>
        </w:rPr>
      </w:pPr>
      <w:r>
        <w:rPr>
          <w:sz w:val="24"/>
          <w:szCs w:val="24"/>
        </w:rPr>
        <w:t>Земли, находящиеся в пределах Республики Башкортостан, составляют земельный фонд. Согласно действующему законодательству и сложившейся практике,</w:t>
      </w:r>
      <w:r>
        <w:rPr>
          <w:sz w:val="24"/>
          <w:szCs w:val="24"/>
        </w:rPr>
        <w:t xml:space="preserve"> государственный учет в Российской Федерации осуществляется по категориям земель и угодьям.</w:t>
      </w:r>
    </w:p>
    <w:p w:rsidR="00E85D42" w:rsidRDefault="008113B9">
      <w:pPr>
        <w:ind w:firstLine="709"/>
        <w:jc w:val="center"/>
        <w:rPr>
          <w:b/>
          <w:i/>
          <w:sz w:val="24"/>
          <w:szCs w:val="24"/>
        </w:rPr>
      </w:pPr>
      <w:r>
        <w:rPr>
          <w:b/>
          <w:i/>
          <w:sz w:val="24"/>
          <w:szCs w:val="24"/>
        </w:rPr>
        <w:t>Распределение земельного фонда по категориям земель</w:t>
      </w:r>
    </w:p>
    <w:p w:rsidR="00E85D42" w:rsidRDefault="008113B9">
      <w:pPr>
        <w:ind w:firstLine="709"/>
        <w:jc w:val="both"/>
        <w:rPr>
          <w:sz w:val="24"/>
          <w:szCs w:val="24"/>
        </w:rPr>
      </w:pPr>
      <w:r>
        <w:rPr>
          <w:sz w:val="24"/>
          <w:szCs w:val="24"/>
        </w:rPr>
        <w:t xml:space="preserve">По данным государственного учета земель земельный фонд Республики Башкортостан по состоянию на 1 января 2019 </w:t>
      </w:r>
      <w:r>
        <w:rPr>
          <w:sz w:val="24"/>
          <w:szCs w:val="24"/>
        </w:rPr>
        <w:t>года составил 14294,7 тыс.га (рисунок 3.1.4.1).</w:t>
      </w:r>
    </w:p>
    <w:p w:rsidR="00E85D42" w:rsidRDefault="00E85D42">
      <w:pPr>
        <w:ind w:firstLine="709"/>
        <w:jc w:val="both"/>
        <w:rPr>
          <w:sz w:val="24"/>
          <w:szCs w:val="24"/>
        </w:rPr>
      </w:pPr>
    </w:p>
    <w:p w:rsidR="00E85D42" w:rsidRDefault="008113B9">
      <w:pPr>
        <w:jc w:val="center"/>
        <w:rPr>
          <w:sz w:val="24"/>
          <w:szCs w:val="24"/>
        </w:rPr>
      </w:pPr>
      <w:r>
        <w:rPr>
          <w:sz w:val="24"/>
          <w:szCs w:val="24"/>
        </w:rPr>
        <w:t>Структура земельного фонда Республики Башкортостан по категориям земель</w:t>
      </w:r>
    </w:p>
    <w:p w:rsidR="00E85D42" w:rsidRDefault="008113B9">
      <w:pPr>
        <w:jc w:val="right"/>
        <w:rPr>
          <w:sz w:val="24"/>
          <w:szCs w:val="24"/>
        </w:rPr>
      </w:pPr>
      <w:r>
        <w:rPr>
          <w:sz w:val="24"/>
          <w:szCs w:val="24"/>
        </w:rPr>
        <w:t>Рис. 3.1.4.1</w:t>
      </w:r>
    </w:p>
    <w:p w:rsidR="00E85D42" w:rsidRDefault="00E85D42">
      <w:pPr>
        <w:ind w:firstLine="709"/>
        <w:jc w:val="both"/>
        <w:rPr>
          <w:sz w:val="24"/>
          <w:szCs w:val="24"/>
        </w:rPr>
      </w:pPr>
    </w:p>
    <w:p w:rsidR="00E85D42" w:rsidRDefault="008113B9">
      <w:pPr>
        <w:spacing w:line="360" w:lineRule="auto"/>
        <w:jc w:val="both"/>
      </w:pPr>
      <w:r>
        <w:rPr>
          <w:noProof/>
          <w:sz w:val="24"/>
          <w:szCs w:val="24"/>
        </w:rPr>
        <w:drawing>
          <wp:inline distT="0" distB="0" distL="0" distR="0">
            <wp:extent cx="5505446" cy="3869375"/>
            <wp:effectExtent l="0" t="0" r="4" b="0"/>
            <wp:docPr id="80" name="Рисунок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rcRect b="15544"/>
                    <a:stretch>
                      <a:fillRect/>
                    </a:stretch>
                  </pic:blipFill>
                  <pic:spPr>
                    <a:xfrm>
                      <a:off x="0" y="0"/>
                      <a:ext cx="5505446" cy="3869375"/>
                    </a:xfrm>
                    <a:prstGeom prst="rect">
                      <a:avLst/>
                    </a:prstGeom>
                    <a:noFill/>
                    <a:ln>
                      <a:noFill/>
                      <a:prstDash/>
                    </a:ln>
                  </pic:spPr>
                </pic:pic>
              </a:graphicData>
            </a:graphic>
          </wp:inline>
        </w:drawing>
      </w:r>
    </w:p>
    <w:p w:rsidR="00E85D42" w:rsidRDefault="008113B9">
      <w:pPr>
        <w:ind w:firstLine="709"/>
        <w:jc w:val="both"/>
        <w:rPr>
          <w:sz w:val="24"/>
          <w:szCs w:val="24"/>
        </w:rPr>
      </w:pPr>
      <w:r>
        <w:rPr>
          <w:sz w:val="24"/>
          <w:szCs w:val="24"/>
        </w:rPr>
        <w:t>В течение 2018 года переводы земель из одной категории в другую затронули в большей степени земли сельскохозяйственного</w:t>
      </w:r>
      <w:r>
        <w:rPr>
          <w:sz w:val="24"/>
          <w:szCs w:val="24"/>
        </w:rPr>
        <w:t xml:space="preserve"> назначения, земли промышленности, энергетики и транспорта, связи, радиовещания и иного специального назначения и земли населенных пунктов, земли лесного фонда (таблица 3.1.4.1).</w:t>
      </w:r>
    </w:p>
    <w:p w:rsidR="00E85D42" w:rsidRDefault="008113B9">
      <w:pPr>
        <w:ind w:firstLine="709"/>
        <w:jc w:val="both"/>
        <w:rPr>
          <w:sz w:val="24"/>
          <w:szCs w:val="24"/>
        </w:rPr>
      </w:pPr>
      <w:r>
        <w:rPr>
          <w:sz w:val="24"/>
          <w:szCs w:val="24"/>
        </w:rPr>
        <w:t>Правовое регулирование земельных отношений, возникающих в связи с переводом з</w:t>
      </w:r>
      <w:r>
        <w:rPr>
          <w:sz w:val="24"/>
          <w:szCs w:val="24"/>
        </w:rPr>
        <w:t xml:space="preserve">емель или земельных участков в составе таких земель из одной категории в другую, осуществлялось в соответствии с Земельным кодексом Российской Федерации, Градостроительным кодексом Российской Федерации, Федеральным законом «О переводе земель или земельных </w:t>
      </w:r>
      <w:r>
        <w:rPr>
          <w:sz w:val="24"/>
          <w:szCs w:val="24"/>
        </w:rPr>
        <w:t xml:space="preserve">участков из одной категории в другую», законами и иными нормативно-правовыми актами Республики Башкортостан. </w:t>
      </w:r>
    </w:p>
    <w:p w:rsidR="00E85D42" w:rsidRDefault="008113B9">
      <w:pPr>
        <w:ind w:firstLine="709"/>
        <w:jc w:val="both"/>
        <w:rPr>
          <w:sz w:val="24"/>
          <w:szCs w:val="24"/>
        </w:rPr>
      </w:pPr>
      <w:r>
        <w:rPr>
          <w:sz w:val="24"/>
          <w:szCs w:val="24"/>
        </w:rPr>
        <w:t>Распределение земель по категориям показывает преобладание в структуре земельного фонда земель сельскохозяйственного назначения, на долю которых п</w:t>
      </w:r>
      <w:r>
        <w:rPr>
          <w:sz w:val="24"/>
          <w:szCs w:val="24"/>
        </w:rPr>
        <w:t>риходится 50,9%, а также земель лесного фонда – 40%. На долю земель населенных пунктов приходится 4,7%, при этом города и поселки городского типа занимают площадь 215,2 тыс.га или 1,5% земельного фонда, сельские населенные пункты – 455 тыс.га или 3,2%.</w:t>
      </w:r>
    </w:p>
    <w:p w:rsidR="00E85D42" w:rsidRDefault="008113B9">
      <w:pPr>
        <w:ind w:firstLine="709"/>
        <w:jc w:val="right"/>
        <w:rPr>
          <w:sz w:val="24"/>
          <w:szCs w:val="24"/>
        </w:rPr>
      </w:pPr>
      <w:r>
        <w:rPr>
          <w:sz w:val="24"/>
          <w:szCs w:val="24"/>
        </w:rPr>
        <w:t>Таб</w:t>
      </w:r>
      <w:r>
        <w:rPr>
          <w:sz w:val="24"/>
          <w:szCs w:val="24"/>
        </w:rPr>
        <w:t>лица 3.1.4.1</w:t>
      </w:r>
    </w:p>
    <w:p w:rsidR="00E85D42" w:rsidRDefault="008113B9">
      <w:pPr>
        <w:jc w:val="both"/>
      </w:pPr>
      <w:r>
        <w:rPr>
          <w:noProof/>
          <w:sz w:val="24"/>
          <w:szCs w:val="24"/>
        </w:rPr>
        <w:drawing>
          <wp:inline distT="0" distB="0" distL="0" distR="0">
            <wp:extent cx="5940427" cy="4172407"/>
            <wp:effectExtent l="0" t="0" r="3173" b="0"/>
            <wp:docPr id="81" name="Рисунок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rcRect t="6400"/>
                    <a:stretch>
                      <a:fillRect/>
                    </a:stretch>
                  </pic:blipFill>
                  <pic:spPr>
                    <a:xfrm>
                      <a:off x="0" y="0"/>
                      <a:ext cx="5940427" cy="4172407"/>
                    </a:xfrm>
                    <a:prstGeom prst="rect">
                      <a:avLst/>
                    </a:prstGeom>
                    <a:noFill/>
                    <a:ln>
                      <a:noFill/>
                      <a:prstDash/>
                    </a:ln>
                  </pic:spPr>
                </pic:pic>
              </a:graphicData>
            </a:graphic>
          </wp:inline>
        </w:drawing>
      </w:r>
    </w:p>
    <w:p w:rsidR="00E85D42" w:rsidRDefault="008113B9">
      <w:pPr>
        <w:ind w:firstLine="709"/>
        <w:jc w:val="both"/>
        <w:rPr>
          <w:sz w:val="24"/>
          <w:szCs w:val="24"/>
        </w:rPr>
      </w:pPr>
      <w:r>
        <w:rPr>
          <w:sz w:val="24"/>
          <w:szCs w:val="24"/>
        </w:rPr>
        <w:t>Изменения в структуре земельного фонда связаны, в основном, с предоставлением земель для несельскохозяйственных целей, изменением (установлением) границ населенных пунктов согласно утвержденным и согласованным Правительством Республики Башко</w:t>
      </w:r>
      <w:r>
        <w:rPr>
          <w:sz w:val="24"/>
          <w:szCs w:val="24"/>
        </w:rPr>
        <w:t>ртостан генеральным планам, учтенным в Едином государственном реестре недвижимости.</w:t>
      </w:r>
    </w:p>
    <w:p w:rsidR="00E85D42" w:rsidRDefault="00E85D42">
      <w:pPr>
        <w:jc w:val="both"/>
        <w:rPr>
          <w:sz w:val="24"/>
          <w:szCs w:val="24"/>
        </w:rPr>
      </w:pPr>
    </w:p>
    <w:p w:rsidR="00E85D42" w:rsidRDefault="008113B9">
      <w:pPr>
        <w:ind w:firstLine="709"/>
        <w:jc w:val="both"/>
        <w:rPr>
          <w:b/>
          <w:i/>
          <w:sz w:val="24"/>
          <w:szCs w:val="24"/>
        </w:rPr>
      </w:pPr>
      <w:r>
        <w:rPr>
          <w:b/>
          <w:i/>
          <w:sz w:val="24"/>
          <w:szCs w:val="24"/>
        </w:rPr>
        <w:t>Земли сельскохозяйственного назначения</w:t>
      </w:r>
    </w:p>
    <w:p w:rsidR="00E85D42" w:rsidRDefault="008113B9">
      <w:pPr>
        <w:ind w:firstLine="709"/>
        <w:jc w:val="both"/>
        <w:rPr>
          <w:sz w:val="24"/>
          <w:szCs w:val="24"/>
        </w:rPr>
      </w:pPr>
      <w:r>
        <w:rPr>
          <w:sz w:val="24"/>
          <w:szCs w:val="24"/>
        </w:rPr>
        <w:t>Землями сельскохозяйственного назначения признаются земли, находящиеся за границами населенного пункта и предоставленные для нужд се</w:t>
      </w:r>
      <w:r>
        <w:rPr>
          <w:sz w:val="24"/>
          <w:szCs w:val="24"/>
        </w:rPr>
        <w:t>льского хозяйства, а также предназначенные для этих целей.</w:t>
      </w:r>
    </w:p>
    <w:p w:rsidR="00E85D42" w:rsidRDefault="008113B9">
      <w:pPr>
        <w:ind w:firstLine="709"/>
        <w:jc w:val="both"/>
        <w:rPr>
          <w:sz w:val="24"/>
          <w:szCs w:val="24"/>
        </w:rPr>
      </w:pPr>
      <w:r>
        <w:rPr>
          <w:sz w:val="24"/>
          <w:szCs w:val="24"/>
        </w:rPr>
        <w:t>Земли данной категории выступают как основное средство производства в сельском хозяйстве, имеют особый правовой режим и подлежат особой охране, направленной на сохранение их площади, предотвращение</w:t>
      </w:r>
      <w:r>
        <w:rPr>
          <w:sz w:val="24"/>
          <w:szCs w:val="24"/>
        </w:rPr>
        <w:t xml:space="preserve"> развития негативных процессов и повышение плодородия почв.</w:t>
      </w:r>
    </w:p>
    <w:p w:rsidR="00E85D42" w:rsidRDefault="008113B9">
      <w:pPr>
        <w:ind w:firstLine="709"/>
        <w:jc w:val="both"/>
        <w:rPr>
          <w:sz w:val="24"/>
          <w:szCs w:val="24"/>
        </w:rPr>
      </w:pPr>
      <w:r>
        <w:rPr>
          <w:sz w:val="24"/>
          <w:szCs w:val="24"/>
        </w:rPr>
        <w:t>На 1 января 2019 года площадь земель сельскохозяйственного назначения составила 7273,7 тыс.га.</w:t>
      </w:r>
    </w:p>
    <w:p w:rsidR="00E85D42" w:rsidRDefault="008113B9">
      <w:pPr>
        <w:ind w:firstLine="709"/>
        <w:jc w:val="both"/>
        <w:rPr>
          <w:sz w:val="24"/>
          <w:szCs w:val="24"/>
        </w:rPr>
      </w:pPr>
      <w:r>
        <w:rPr>
          <w:sz w:val="24"/>
          <w:szCs w:val="24"/>
        </w:rPr>
        <w:t>К данной категории отнесены земли, предоставленные различным сельскохозяйственным предприятиям и орга</w:t>
      </w:r>
      <w:r>
        <w:rPr>
          <w:sz w:val="24"/>
          <w:szCs w:val="24"/>
        </w:rPr>
        <w:t>низациям (товариществам и обществам, кооперативам, государственным и муниципальным унитарным предприятиям, научно-исследовательским учреждениям). В нее входят также земельные участки, предоставленные гражданам для ведения крестьянского (фермерского) хозяйс</w:t>
      </w:r>
      <w:r>
        <w:rPr>
          <w:sz w:val="24"/>
          <w:szCs w:val="24"/>
        </w:rPr>
        <w:t>тва, личного подсобного хозяйства, садоводства, огородничества, животноводства и сенокошения.</w:t>
      </w:r>
    </w:p>
    <w:p w:rsidR="00E85D42" w:rsidRDefault="008113B9">
      <w:pPr>
        <w:ind w:firstLine="709"/>
        <w:jc w:val="both"/>
        <w:rPr>
          <w:sz w:val="24"/>
          <w:szCs w:val="24"/>
        </w:rPr>
      </w:pPr>
      <w:r>
        <w:rPr>
          <w:sz w:val="24"/>
          <w:szCs w:val="24"/>
        </w:rPr>
        <w:t>В общую площадь категории земель вошли площади, занятые земельными долями (в том числе невостребованными) и земельными участками сельскохозяйственного назначения,</w:t>
      </w:r>
      <w:r>
        <w:rPr>
          <w:sz w:val="24"/>
          <w:szCs w:val="24"/>
        </w:rPr>
        <w:t xml:space="preserve"> принадлежащие гражданам.</w:t>
      </w:r>
    </w:p>
    <w:p w:rsidR="00E85D42" w:rsidRDefault="008113B9">
      <w:pPr>
        <w:ind w:firstLine="709"/>
        <w:jc w:val="both"/>
        <w:rPr>
          <w:sz w:val="24"/>
          <w:szCs w:val="24"/>
        </w:rPr>
      </w:pPr>
      <w:r>
        <w:rPr>
          <w:sz w:val="24"/>
          <w:szCs w:val="24"/>
        </w:rPr>
        <w:t>В целом, площадь категории земель сельскохозяйственного назначения в Республике Башкортостан по сравнению с предшествующим годом уменьшилась на 5,7 тыс. га. Это произошло за счет перевода земель площадью 0,4 тыс.га в категорию зем</w:t>
      </w:r>
      <w:r>
        <w:rPr>
          <w:sz w:val="24"/>
          <w:szCs w:val="24"/>
        </w:rPr>
        <w:t>ель промышленности и иного специального назначения, 4,0 тыс.га - в категорию земель населенных пунктов, 0,1 тыс.га - в категорию земель особо охраняемых территорий и объектов и 1,2 тыс.га - в категорию земель лесного фонда.</w:t>
      </w:r>
    </w:p>
    <w:p w:rsidR="00E85D42" w:rsidRDefault="008113B9">
      <w:pPr>
        <w:ind w:firstLine="709"/>
        <w:jc w:val="both"/>
        <w:rPr>
          <w:sz w:val="24"/>
          <w:szCs w:val="24"/>
        </w:rPr>
      </w:pPr>
      <w:r>
        <w:rPr>
          <w:sz w:val="24"/>
          <w:szCs w:val="24"/>
        </w:rPr>
        <w:t>Земли данной категории в установ</w:t>
      </w:r>
      <w:r>
        <w:rPr>
          <w:sz w:val="24"/>
          <w:szCs w:val="24"/>
        </w:rPr>
        <w:t>ленном порядке отводились под расширение населенных пунктов, строительство новых и расширение территорий уже действующих предприятий промышленности, транспорта и связи.</w:t>
      </w:r>
    </w:p>
    <w:p w:rsidR="00E85D42" w:rsidRDefault="008113B9">
      <w:pPr>
        <w:ind w:firstLine="709"/>
        <w:jc w:val="both"/>
        <w:rPr>
          <w:sz w:val="24"/>
          <w:szCs w:val="24"/>
        </w:rPr>
      </w:pPr>
      <w:r>
        <w:rPr>
          <w:sz w:val="24"/>
          <w:szCs w:val="24"/>
        </w:rPr>
        <w:t>В составе земель сельскохозяйственного назначения преобладают сельскохозяйственные угод</w:t>
      </w:r>
      <w:r>
        <w:rPr>
          <w:sz w:val="24"/>
          <w:szCs w:val="24"/>
        </w:rPr>
        <w:t>ья, площадь которых составляет 6620,5 тыс.га (91,0%), из них пашни 3448,2 тыс.га. Лесные площади и лесные насаждения, не входящие в лесной фонд, составляют 315,0 тыс.га (4,4 %). На долю земель, занятых водными объектами, дорогами, застройками и прочими зем</w:t>
      </w:r>
      <w:r>
        <w:rPr>
          <w:sz w:val="24"/>
          <w:szCs w:val="24"/>
        </w:rPr>
        <w:t>лями, приходится 338,2 тыс.га или 4,6% (рисунок 3.1.4.2).</w:t>
      </w:r>
    </w:p>
    <w:p w:rsidR="00E85D42" w:rsidRDefault="00E85D42">
      <w:pPr>
        <w:ind w:firstLine="709"/>
        <w:jc w:val="both"/>
        <w:rPr>
          <w:sz w:val="24"/>
          <w:szCs w:val="24"/>
        </w:rPr>
      </w:pPr>
    </w:p>
    <w:p w:rsidR="00E85D42" w:rsidRDefault="008113B9">
      <w:pPr>
        <w:ind w:firstLine="709"/>
        <w:jc w:val="center"/>
        <w:rPr>
          <w:sz w:val="24"/>
          <w:szCs w:val="24"/>
        </w:rPr>
      </w:pPr>
      <w:r>
        <w:rPr>
          <w:sz w:val="24"/>
          <w:szCs w:val="24"/>
        </w:rPr>
        <w:t>Распределение земель сельскохозяйственного назначения по угодьям</w:t>
      </w:r>
    </w:p>
    <w:p w:rsidR="00E85D42" w:rsidRDefault="008113B9">
      <w:pPr>
        <w:ind w:firstLine="709"/>
        <w:jc w:val="right"/>
        <w:rPr>
          <w:sz w:val="24"/>
          <w:szCs w:val="24"/>
        </w:rPr>
      </w:pPr>
      <w:r>
        <w:rPr>
          <w:sz w:val="24"/>
          <w:szCs w:val="24"/>
        </w:rPr>
        <w:t>Рисунок 3.1.4.2</w:t>
      </w:r>
    </w:p>
    <w:p w:rsidR="00E85D42" w:rsidRDefault="008113B9">
      <w:pPr>
        <w:jc w:val="both"/>
      </w:pPr>
      <w:r>
        <w:rPr>
          <w:noProof/>
          <w:sz w:val="24"/>
          <w:szCs w:val="24"/>
        </w:rPr>
        <w:drawing>
          <wp:inline distT="0" distB="0" distL="0" distR="0">
            <wp:extent cx="5940427" cy="3692584"/>
            <wp:effectExtent l="0" t="0" r="3173" b="3116"/>
            <wp:docPr id="82" name="Рисунок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rcRect b="13851"/>
                    <a:stretch>
                      <a:fillRect/>
                    </a:stretch>
                  </pic:blipFill>
                  <pic:spPr>
                    <a:xfrm>
                      <a:off x="0" y="0"/>
                      <a:ext cx="5940427" cy="3692584"/>
                    </a:xfrm>
                    <a:prstGeom prst="rect">
                      <a:avLst/>
                    </a:prstGeom>
                    <a:noFill/>
                    <a:ln>
                      <a:noFill/>
                      <a:prstDash/>
                    </a:ln>
                  </pic:spPr>
                </pic:pic>
              </a:graphicData>
            </a:graphic>
          </wp:inline>
        </w:drawing>
      </w:r>
    </w:p>
    <w:bookmarkEnd w:id="114"/>
    <w:p w:rsidR="00E85D42" w:rsidRDefault="00E85D42">
      <w:pPr>
        <w:jc w:val="center"/>
        <w:rPr>
          <w:sz w:val="24"/>
          <w:szCs w:val="24"/>
        </w:rPr>
      </w:pPr>
    </w:p>
    <w:p w:rsidR="00E85D42" w:rsidRDefault="008113B9">
      <w:pPr>
        <w:ind w:firstLine="709"/>
        <w:jc w:val="both"/>
        <w:rPr>
          <w:sz w:val="24"/>
          <w:szCs w:val="24"/>
        </w:rPr>
      </w:pPr>
      <w:r>
        <w:rPr>
          <w:sz w:val="24"/>
          <w:szCs w:val="24"/>
        </w:rPr>
        <w:t>Значительными площадями земель сельскохозяйственного назначения располагают Баймакский район – 338,6 тыс.га, Хайб</w:t>
      </w:r>
      <w:r>
        <w:rPr>
          <w:sz w:val="24"/>
          <w:szCs w:val="24"/>
        </w:rPr>
        <w:t>уллинский район – 336,3 тыс.га и Абзелиловский район – 221,8 тыс.га. В Давлекановском, Куюргазинском, Благоварском районах площади земель сельскохозяйственного назначения составляют более 88% от общей площади района.</w:t>
      </w:r>
    </w:p>
    <w:p w:rsidR="00E85D42" w:rsidRDefault="008113B9">
      <w:pPr>
        <w:ind w:firstLine="709"/>
        <w:jc w:val="both"/>
        <w:rPr>
          <w:sz w:val="24"/>
          <w:szCs w:val="24"/>
        </w:rPr>
      </w:pPr>
      <w:r>
        <w:rPr>
          <w:sz w:val="24"/>
          <w:szCs w:val="24"/>
        </w:rPr>
        <w:t>Наибольший процент сельскохозяйственных</w:t>
      </w:r>
      <w:r>
        <w:rPr>
          <w:sz w:val="24"/>
          <w:szCs w:val="24"/>
        </w:rPr>
        <w:t xml:space="preserve"> угодий к общей площади земель сельскохозяйственного назначения приходится на следующие районы: Салаватский, Белокатайский, Татышлинский - 97%; Калтасинский, Дуванский, Янаульский - 96%.</w:t>
      </w:r>
    </w:p>
    <w:p w:rsidR="00E85D42" w:rsidRDefault="008113B9">
      <w:pPr>
        <w:ind w:firstLine="709"/>
        <w:jc w:val="both"/>
        <w:rPr>
          <w:b/>
          <w:i/>
          <w:sz w:val="24"/>
          <w:szCs w:val="24"/>
        </w:rPr>
      </w:pPr>
      <w:r>
        <w:rPr>
          <w:b/>
          <w:i/>
          <w:sz w:val="24"/>
          <w:szCs w:val="24"/>
        </w:rPr>
        <w:t>Земли населенных пунктов</w:t>
      </w:r>
    </w:p>
    <w:p w:rsidR="00E85D42" w:rsidRDefault="008113B9">
      <w:pPr>
        <w:ind w:firstLine="709"/>
        <w:jc w:val="both"/>
        <w:rPr>
          <w:sz w:val="24"/>
          <w:szCs w:val="24"/>
        </w:rPr>
      </w:pPr>
      <w:r>
        <w:rPr>
          <w:sz w:val="24"/>
          <w:szCs w:val="24"/>
        </w:rPr>
        <w:t>Землями населенных пунктов признаются земли,</w:t>
      </w:r>
      <w:r>
        <w:rPr>
          <w:sz w:val="24"/>
          <w:szCs w:val="24"/>
        </w:rPr>
        <w:t xml:space="preserve"> используемые и предназначенные для застройки и развития населенных пунктов. Границы городских и сельских населенных пунктов отделяют земли населенных пунктов от земель иных категорий.</w:t>
      </w:r>
    </w:p>
    <w:p w:rsidR="00E85D42" w:rsidRDefault="008113B9">
      <w:pPr>
        <w:ind w:firstLine="709"/>
        <w:jc w:val="both"/>
        <w:rPr>
          <w:sz w:val="24"/>
          <w:szCs w:val="24"/>
        </w:rPr>
      </w:pPr>
      <w:r>
        <w:rPr>
          <w:sz w:val="24"/>
          <w:szCs w:val="24"/>
        </w:rPr>
        <w:t>Площадь категории земель населенных пунктов составляет 670,2 тыс.га или</w:t>
      </w:r>
      <w:r>
        <w:rPr>
          <w:sz w:val="24"/>
          <w:szCs w:val="24"/>
        </w:rPr>
        <w:t xml:space="preserve"> 4,7% земельного фонда республики.</w:t>
      </w:r>
    </w:p>
    <w:p w:rsidR="00E85D42" w:rsidRDefault="008113B9">
      <w:pPr>
        <w:ind w:firstLine="709"/>
        <w:jc w:val="both"/>
        <w:rPr>
          <w:sz w:val="24"/>
          <w:szCs w:val="24"/>
        </w:rPr>
      </w:pPr>
      <w:r>
        <w:rPr>
          <w:sz w:val="24"/>
          <w:szCs w:val="24"/>
        </w:rPr>
        <w:t>Наибольший удельный вес в структуре земель населенных пунктов занимают сельскохозяйственные угодья – 394,9 тыс.га (58,9%), земли под застройками, дорогами, улицами, площадями составляют 168,1 тыс.га (25,1%) (рисунок 3.1.4</w:t>
      </w:r>
      <w:r>
        <w:rPr>
          <w:sz w:val="24"/>
          <w:szCs w:val="24"/>
        </w:rPr>
        <w:t>.3).</w:t>
      </w:r>
    </w:p>
    <w:p w:rsidR="00E85D42" w:rsidRDefault="008113B9">
      <w:pPr>
        <w:ind w:firstLine="709"/>
        <w:jc w:val="both"/>
        <w:rPr>
          <w:sz w:val="24"/>
          <w:szCs w:val="24"/>
        </w:rPr>
      </w:pPr>
      <w:r>
        <w:rPr>
          <w:sz w:val="24"/>
          <w:szCs w:val="24"/>
        </w:rPr>
        <w:t xml:space="preserve">Распределение земель населенных пунктов по угодьям </w:t>
      </w:r>
    </w:p>
    <w:p w:rsidR="00E85D42" w:rsidRDefault="008113B9">
      <w:pPr>
        <w:ind w:firstLine="709"/>
        <w:jc w:val="right"/>
        <w:rPr>
          <w:sz w:val="24"/>
          <w:szCs w:val="24"/>
        </w:rPr>
      </w:pPr>
      <w:r>
        <w:rPr>
          <w:sz w:val="24"/>
          <w:szCs w:val="24"/>
        </w:rPr>
        <w:t>Рисунок 3.1.4.3</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2993343"/>
            <wp:effectExtent l="0" t="0" r="3173" b="0"/>
            <wp:docPr id="83" name="Рисунок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rcRect b="14865"/>
                    <a:stretch>
                      <a:fillRect/>
                    </a:stretch>
                  </pic:blipFill>
                  <pic:spPr>
                    <a:xfrm>
                      <a:off x="0" y="0"/>
                      <a:ext cx="5940427" cy="2993343"/>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Сельскохозяйственные угодья в землях населенных пунктов представлены, в основном, в личных подсобных хозяйствах граждан.</w:t>
      </w:r>
    </w:p>
    <w:p w:rsidR="00E85D42" w:rsidRDefault="008113B9">
      <w:pPr>
        <w:ind w:firstLine="709"/>
        <w:jc w:val="both"/>
        <w:rPr>
          <w:sz w:val="24"/>
          <w:szCs w:val="24"/>
        </w:rPr>
      </w:pPr>
      <w:r>
        <w:rPr>
          <w:sz w:val="24"/>
          <w:szCs w:val="24"/>
        </w:rPr>
        <w:t>Площадь городов и поселков городского типа республики сост</w:t>
      </w:r>
      <w:r>
        <w:rPr>
          <w:sz w:val="24"/>
          <w:szCs w:val="24"/>
        </w:rPr>
        <w:t>авляет 215,2 тыс.га. Из всех земель передано в собственность граждан 13,8 тыс.га. Это, в основном, земельные участки, предоставленные для индивидуального жилищного строительства и садоводства. В собственность юридических лиц передано 2,7 тыс.га.</w:t>
      </w:r>
    </w:p>
    <w:p w:rsidR="00E85D42" w:rsidRDefault="008113B9">
      <w:pPr>
        <w:ind w:firstLine="709"/>
        <w:jc w:val="both"/>
        <w:rPr>
          <w:sz w:val="24"/>
          <w:szCs w:val="24"/>
        </w:rPr>
      </w:pPr>
      <w:r>
        <w:rPr>
          <w:sz w:val="24"/>
          <w:szCs w:val="24"/>
        </w:rPr>
        <w:t>Площадь се</w:t>
      </w:r>
      <w:r>
        <w:rPr>
          <w:sz w:val="24"/>
          <w:szCs w:val="24"/>
        </w:rPr>
        <w:t>льских населенных пунктов составляет 455 тыс.га. В собственности граждан находится 98,2 тыс.га земель, предоставленных для ведения личных подсобных хозяйств и индивидуального жилищного строительства. В собственности юридических лиц – 2,1 тыс.га.</w:t>
      </w:r>
    </w:p>
    <w:p w:rsidR="00E85D42" w:rsidRDefault="008113B9">
      <w:pPr>
        <w:ind w:firstLine="709"/>
        <w:jc w:val="both"/>
        <w:rPr>
          <w:sz w:val="24"/>
          <w:szCs w:val="24"/>
        </w:rPr>
      </w:pPr>
      <w:r>
        <w:rPr>
          <w:sz w:val="24"/>
          <w:szCs w:val="24"/>
        </w:rPr>
        <w:t>За 2018 го</w:t>
      </w:r>
      <w:r>
        <w:rPr>
          <w:sz w:val="24"/>
          <w:szCs w:val="24"/>
        </w:rPr>
        <w:t>д площадь земель населенных пунктов в целом по республике увеличилась на 4,0 тыс.га.</w:t>
      </w:r>
    </w:p>
    <w:p w:rsidR="00E85D42" w:rsidRDefault="008113B9">
      <w:pPr>
        <w:ind w:firstLine="709"/>
        <w:jc w:val="both"/>
        <w:rPr>
          <w:sz w:val="24"/>
          <w:szCs w:val="24"/>
        </w:rPr>
      </w:pPr>
      <w:r>
        <w:rPr>
          <w:sz w:val="24"/>
          <w:szCs w:val="24"/>
        </w:rPr>
        <w:t>Уменьшение категории земель населенных пунктов (0,4 тыс.га) в категорию земель сельскохозяйственного назначения (в соответствии с утвержденными генеральными планами, учтен</w:t>
      </w:r>
      <w:r>
        <w:rPr>
          <w:sz w:val="24"/>
          <w:szCs w:val="24"/>
        </w:rPr>
        <w:t>ными в ЕГРН).</w:t>
      </w:r>
    </w:p>
    <w:p w:rsidR="00E85D42" w:rsidRDefault="008113B9">
      <w:pPr>
        <w:ind w:firstLine="709"/>
        <w:jc w:val="both"/>
        <w:rPr>
          <w:sz w:val="24"/>
          <w:szCs w:val="24"/>
        </w:rPr>
      </w:pPr>
      <w:r>
        <w:rPr>
          <w:sz w:val="24"/>
          <w:szCs w:val="24"/>
        </w:rPr>
        <w:t>Увеличение категории земель населенных пунктов (4,4 тыс.га) связано с переводом из следующих категорий:</w:t>
      </w:r>
    </w:p>
    <w:p w:rsidR="00E85D42" w:rsidRDefault="008113B9">
      <w:pPr>
        <w:ind w:firstLine="709"/>
        <w:jc w:val="both"/>
        <w:rPr>
          <w:sz w:val="24"/>
          <w:szCs w:val="24"/>
        </w:rPr>
      </w:pPr>
      <w:r>
        <w:rPr>
          <w:sz w:val="24"/>
          <w:szCs w:val="24"/>
        </w:rPr>
        <w:t>- 4,1 тыс.га земель из категории земель сельскохозяйственного назначения;</w:t>
      </w:r>
    </w:p>
    <w:p w:rsidR="00E85D42" w:rsidRDefault="008113B9">
      <w:pPr>
        <w:ind w:firstLine="709"/>
        <w:jc w:val="both"/>
        <w:rPr>
          <w:sz w:val="24"/>
          <w:szCs w:val="24"/>
        </w:rPr>
      </w:pPr>
      <w:r>
        <w:rPr>
          <w:sz w:val="24"/>
          <w:szCs w:val="24"/>
        </w:rPr>
        <w:t xml:space="preserve">- 0,3 тыс.га земель из промышленности, энергетики, транспорта, </w:t>
      </w:r>
      <w:r>
        <w:rPr>
          <w:sz w:val="24"/>
          <w:szCs w:val="24"/>
        </w:rPr>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85D42" w:rsidRDefault="008113B9">
      <w:pPr>
        <w:ind w:firstLine="709"/>
        <w:jc w:val="both"/>
        <w:rPr>
          <w:sz w:val="24"/>
          <w:szCs w:val="24"/>
        </w:rPr>
      </w:pPr>
      <w:r>
        <w:rPr>
          <w:sz w:val="24"/>
          <w:szCs w:val="24"/>
        </w:rPr>
        <w:t>Распределение земель населенных пунктов по функциональному использованию представлено в таблиц</w:t>
      </w:r>
      <w:r>
        <w:rPr>
          <w:sz w:val="24"/>
          <w:szCs w:val="24"/>
        </w:rPr>
        <w:t>е 3.1.4.2.</w:t>
      </w:r>
    </w:p>
    <w:p w:rsidR="00E85D42" w:rsidRDefault="008113B9">
      <w:pPr>
        <w:ind w:firstLine="709"/>
        <w:jc w:val="right"/>
        <w:rPr>
          <w:sz w:val="24"/>
          <w:szCs w:val="24"/>
        </w:rPr>
      </w:pPr>
      <w:r>
        <w:rPr>
          <w:sz w:val="24"/>
          <w:szCs w:val="24"/>
        </w:rPr>
        <w:t>Таблица 3.1.4.2</w:t>
      </w:r>
    </w:p>
    <w:p w:rsidR="00E85D42" w:rsidRDefault="008113B9">
      <w:pPr>
        <w:jc w:val="both"/>
      </w:pPr>
      <w:r>
        <w:rPr>
          <w:noProof/>
          <w:sz w:val="24"/>
          <w:szCs w:val="24"/>
        </w:rPr>
        <w:drawing>
          <wp:inline distT="0" distB="0" distL="0" distR="0">
            <wp:extent cx="5940427" cy="2170118"/>
            <wp:effectExtent l="0" t="0" r="3173" b="1582"/>
            <wp:docPr id="84" name="Рисунок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rcRect t="9853"/>
                    <a:stretch>
                      <a:fillRect/>
                    </a:stretch>
                  </pic:blipFill>
                  <pic:spPr>
                    <a:xfrm>
                      <a:off x="0" y="0"/>
                      <a:ext cx="5940427" cy="2170118"/>
                    </a:xfrm>
                    <a:prstGeom prst="rect">
                      <a:avLst/>
                    </a:prstGeom>
                    <a:noFill/>
                    <a:ln>
                      <a:noFill/>
                      <a:prstDash/>
                    </a:ln>
                  </pic:spPr>
                </pic:pic>
              </a:graphicData>
            </a:graphic>
          </wp:inline>
        </w:drawing>
      </w:r>
    </w:p>
    <w:p w:rsidR="00E85D42" w:rsidRDefault="008113B9">
      <w:pPr>
        <w:jc w:val="both"/>
      </w:pPr>
      <w:r>
        <w:rPr>
          <w:noProof/>
          <w:sz w:val="24"/>
          <w:szCs w:val="24"/>
        </w:rPr>
        <w:drawing>
          <wp:inline distT="0" distB="0" distL="0" distR="0">
            <wp:extent cx="5318351" cy="7750692"/>
            <wp:effectExtent l="0" t="0" r="0" b="2658"/>
            <wp:docPr id="85" name="Рисунок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rcRect t="3830"/>
                    <a:stretch>
                      <a:fillRect/>
                    </a:stretch>
                  </pic:blipFill>
                  <pic:spPr>
                    <a:xfrm>
                      <a:off x="0" y="0"/>
                      <a:ext cx="5318351" cy="7750692"/>
                    </a:xfrm>
                    <a:prstGeom prst="rect">
                      <a:avLst/>
                    </a:prstGeom>
                    <a:noFill/>
                    <a:ln>
                      <a:noFill/>
                      <a:prstDash/>
                    </a:ln>
                  </pic:spPr>
                </pic:pic>
              </a:graphicData>
            </a:graphic>
          </wp:inline>
        </w:drawing>
      </w:r>
    </w:p>
    <w:p w:rsidR="00E85D42" w:rsidRDefault="00E85D42">
      <w:pPr>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85D42" w:rsidRDefault="008113B9">
      <w:pPr>
        <w:ind w:firstLine="709"/>
        <w:jc w:val="both"/>
        <w:rPr>
          <w:sz w:val="24"/>
          <w:szCs w:val="24"/>
        </w:rPr>
      </w:pPr>
      <w:r>
        <w:rPr>
          <w:sz w:val="24"/>
          <w:szCs w:val="24"/>
        </w:rPr>
        <w:t>Землями промы</w:t>
      </w:r>
      <w:r>
        <w:rPr>
          <w:sz w:val="24"/>
          <w:szCs w:val="24"/>
        </w:rPr>
        <w:t>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w:t>
      </w:r>
      <w:r>
        <w:rPr>
          <w:sz w:val="24"/>
          <w:szCs w:val="24"/>
        </w:rPr>
        <w:t>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w:t>
      </w:r>
      <w:r>
        <w:rPr>
          <w:sz w:val="24"/>
          <w:szCs w:val="24"/>
        </w:rPr>
        <w:t>,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Российской Федерации, федеральными законами и законами субъектов Российск</w:t>
      </w:r>
      <w:r>
        <w:rPr>
          <w:sz w:val="24"/>
          <w:szCs w:val="24"/>
        </w:rPr>
        <w:t>ой Федерации (далее - земли промышленности и иного специального назначения).</w:t>
      </w:r>
    </w:p>
    <w:p w:rsidR="00E85D42" w:rsidRDefault="008113B9">
      <w:pPr>
        <w:ind w:firstLine="709"/>
        <w:jc w:val="both"/>
        <w:rPr>
          <w:sz w:val="24"/>
          <w:szCs w:val="24"/>
        </w:rPr>
      </w:pPr>
      <w:r>
        <w:rPr>
          <w:sz w:val="24"/>
          <w:szCs w:val="24"/>
        </w:rPr>
        <w:t>Общая площадь земель рассматриваемой категории на 1 января 2019 года составила 116,7 тыс. га.</w:t>
      </w:r>
    </w:p>
    <w:p w:rsidR="00E85D42" w:rsidRDefault="008113B9">
      <w:pPr>
        <w:ind w:firstLine="709"/>
        <w:jc w:val="both"/>
        <w:rPr>
          <w:sz w:val="24"/>
          <w:szCs w:val="24"/>
        </w:rPr>
      </w:pPr>
      <w:r>
        <w:rPr>
          <w:sz w:val="24"/>
          <w:szCs w:val="24"/>
        </w:rPr>
        <w:t xml:space="preserve">Земли промышленности и иного специального назначения (рисунок 3.1.4.4) в зависимости </w:t>
      </w:r>
      <w:r>
        <w:rPr>
          <w:sz w:val="24"/>
          <w:szCs w:val="24"/>
        </w:rPr>
        <w:t>от характера специальных задач подразделяются на семь групп, из которых в республике представлены следующие шесть групп (отсутствуют земли для обеспечения космической деятельности).</w:t>
      </w:r>
    </w:p>
    <w:p w:rsidR="00E85D42" w:rsidRDefault="008113B9">
      <w:pPr>
        <w:ind w:firstLine="709"/>
        <w:jc w:val="both"/>
        <w:rPr>
          <w:sz w:val="24"/>
          <w:szCs w:val="24"/>
        </w:rPr>
      </w:pPr>
      <w:r>
        <w:rPr>
          <w:sz w:val="24"/>
          <w:szCs w:val="24"/>
        </w:rPr>
        <w:t>К землям промышленности отнесены земельные участки, предоставленные для ра</w:t>
      </w:r>
      <w:r>
        <w:rPr>
          <w:sz w:val="24"/>
          <w:szCs w:val="24"/>
        </w:rPr>
        <w:t>змещения административных и производственных зданий, строений и сооружений и обслуживающих их объектов, а также земельные участки, предоставленные предприятиям горнодобывающей и нефтегазовой промышленности, для разработки полезных ископаемых. Общая площадь</w:t>
      </w:r>
      <w:r>
        <w:rPr>
          <w:sz w:val="24"/>
          <w:szCs w:val="24"/>
        </w:rPr>
        <w:t xml:space="preserve"> земель промышленности составила 36,7 тыс. га.</w:t>
      </w:r>
    </w:p>
    <w:p w:rsidR="00E85D42" w:rsidRDefault="008113B9">
      <w:pPr>
        <w:ind w:firstLine="709"/>
        <w:jc w:val="both"/>
        <w:rPr>
          <w:sz w:val="24"/>
          <w:szCs w:val="24"/>
        </w:rPr>
      </w:pPr>
      <w:r>
        <w:rPr>
          <w:sz w:val="24"/>
          <w:szCs w:val="24"/>
        </w:rPr>
        <w:t>К землям энергетики отнесены земельные участки, предоставленные для размещения гидроэлектростанций и других электростанций, воздушных линий электропередачи, подстанций, распределительных пунктов и других соору</w:t>
      </w:r>
      <w:r>
        <w:rPr>
          <w:sz w:val="24"/>
          <w:szCs w:val="24"/>
        </w:rPr>
        <w:t>жений и объектов энергетики. Площадь земель энергетики составила 1,7 тыс. га.</w:t>
      </w:r>
    </w:p>
    <w:p w:rsidR="00E85D42" w:rsidRDefault="008113B9">
      <w:pPr>
        <w:ind w:firstLine="709"/>
        <w:jc w:val="both"/>
        <w:rPr>
          <w:sz w:val="24"/>
          <w:szCs w:val="24"/>
        </w:rPr>
      </w:pPr>
      <w:r>
        <w:rPr>
          <w:sz w:val="24"/>
          <w:szCs w:val="24"/>
        </w:rPr>
        <w:t>К землям транспорта относятся земельные участки, предоставленные предприятиям, учреждениям и организациям железнодорожного, автомобильного, воздушного, трубопроводного, морского,</w:t>
      </w:r>
      <w:r>
        <w:rPr>
          <w:sz w:val="24"/>
          <w:szCs w:val="24"/>
        </w:rPr>
        <w:t xml:space="preserve"> внутреннего водного транспорта для осуществления специальных задач по содержанию, строительству, реконструкции, ремонту и развитию объектов транспорта. В целом, по республике площадь земель транспорта составила 64,5 тыс. га.</w:t>
      </w:r>
    </w:p>
    <w:p w:rsidR="00E85D42" w:rsidRDefault="008113B9">
      <w:pPr>
        <w:ind w:firstLine="709"/>
        <w:jc w:val="both"/>
        <w:rPr>
          <w:sz w:val="24"/>
          <w:szCs w:val="24"/>
        </w:rPr>
      </w:pPr>
      <w:r>
        <w:rPr>
          <w:sz w:val="24"/>
          <w:szCs w:val="24"/>
        </w:rPr>
        <w:t>Земли связи, радиовещания, тел</w:t>
      </w:r>
      <w:r>
        <w:rPr>
          <w:sz w:val="24"/>
          <w:szCs w:val="24"/>
        </w:rPr>
        <w:t>евидения, информатики занимали 0,2 тыс. га, обороны и безопасности – 7,0 тыс. га.</w:t>
      </w:r>
    </w:p>
    <w:p w:rsidR="00E85D42" w:rsidRDefault="008113B9">
      <w:pPr>
        <w:ind w:firstLine="709"/>
        <w:jc w:val="both"/>
        <w:rPr>
          <w:sz w:val="24"/>
          <w:szCs w:val="24"/>
        </w:rPr>
      </w:pPr>
      <w:r>
        <w:rPr>
          <w:sz w:val="24"/>
          <w:szCs w:val="24"/>
        </w:rPr>
        <w:t>Площадь земель иного специального назначения, отнесенных к данной категории, составила 6,6 тыс. га. Здесь учитываются все объекты инфраструктуры, расположенные за чертой насе</w:t>
      </w:r>
      <w:r>
        <w:rPr>
          <w:sz w:val="24"/>
          <w:szCs w:val="24"/>
        </w:rPr>
        <w:t>ленных пунктов, такие как: школы, больницы, ветеринарные пункты, индивидуальные жилые дома, свалки, кладбища, монастыри и пр. Таким образом, к землям иного назначения относят земельные участки, предоставленные для различных целей, не учтенные в других кате</w:t>
      </w:r>
      <w:r>
        <w:rPr>
          <w:sz w:val="24"/>
          <w:szCs w:val="24"/>
        </w:rPr>
        <w:t>гориях земель.</w:t>
      </w: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8113B9">
      <w:pPr>
        <w:ind w:firstLine="709"/>
        <w:jc w:val="center"/>
        <w:rPr>
          <w:sz w:val="24"/>
          <w:szCs w:val="24"/>
        </w:rPr>
      </w:pPr>
      <w:r>
        <w:rPr>
          <w:sz w:val="24"/>
          <w:szCs w:val="24"/>
        </w:rPr>
        <w:t>Структура земель промышленности, энергетики, транспорта, связи и иного специального назначения</w:t>
      </w:r>
    </w:p>
    <w:p w:rsidR="00E85D42" w:rsidRDefault="008113B9">
      <w:pPr>
        <w:jc w:val="right"/>
        <w:rPr>
          <w:sz w:val="24"/>
          <w:szCs w:val="24"/>
        </w:rPr>
      </w:pPr>
      <w:r>
        <w:rPr>
          <w:sz w:val="24"/>
          <w:szCs w:val="24"/>
        </w:rPr>
        <w:t>Рисунок 3.1.4.4</w:t>
      </w:r>
    </w:p>
    <w:p w:rsidR="00E85D42" w:rsidRDefault="008113B9">
      <w:pPr>
        <w:jc w:val="both"/>
      </w:pPr>
      <w:r>
        <w:rPr>
          <w:noProof/>
          <w:sz w:val="24"/>
          <w:szCs w:val="24"/>
        </w:rPr>
        <w:drawing>
          <wp:inline distT="0" distB="0" distL="0" distR="0">
            <wp:extent cx="5940427" cy="3347353"/>
            <wp:effectExtent l="0" t="0" r="3173" b="5447"/>
            <wp:docPr id="86" name="Рисунок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rcRect b="17544"/>
                    <a:stretch>
                      <a:fillRect/>
                    </a:stretch>
                  </pic:blipFill>
                  <pic:spPr>
                    <a:xfrm>
                      <a:off x="0" y="0"/>
                      <a:ext cx="5940427" cy="3347353"/>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 xml:space="preserve">В 2018 году по сравнению с предшествующим годом площадь земель данной категории увеличилась на 0,4 тыс.га. Основные </w:t>
      </w:r>
      <w:r>
        <w:rPr>
          <w:sz w:val="24"/>
          <w:szCs w:val="24"/>
        </w:rPr>
        <w:t>изменения связаны с переводом земель, выделенных из земель сельскохозяйственного назначения для строительства завода по изготовлению керамических изделий, расширения аэропорта, добычи полезных ископаемых, подземного рудника, кладбищ, твердо – бытовых отход</w:t>
      </w:r>
      <w:r>
        <w:rPr>
          <w:sz w:val="24"/>
          <w:szCs w:val="24"/>
        </w:rPr>
        <w:t>ов.</w:t>
      </w:r>
    </w:p>
    <w:p w:rsidR="00E85D42" w:rsidRDefault="008113B9">
      <w:pPr>
        <w:ind w:firstLine="709"/>
        <w:jc w:val="both"/>
        <w:rPr>
          <w:sz w:val="24"/>
          <w:szCs w:val="24"/>
        </w:rPr>
      </w:pPr>
      <w:r>
        <w:rPr>
          <w:sz w:val="24"/>
          <w:szCs w:val="24"/>
        </w:rPr>
        <w:t>Сельскохозяйственные угодья, занимающие 6 тыс.га или 5,2%, в основном, расположены в полосах отвода железных и автомобильных дорог и предоставляются гражданам под служебные наделы. Наиболее полное распределение земель промышленности, энергетики, трансп</w:t>
      </w:r>
      <w:r>
        <w:rPr>
          <w:sz w:val="24"/>
          <w:szCs w:val="24"/>
        </w:rPr>
        <w:t>орта, связи и иного специального назначения по угодьям представлено в таблице 3.1.4.3.</w:t>
      </w:r>
    </w:p>
    <w:p w:rsidR="00E85D42" w:rsidRDefault="00E85D42">
      <w:pPr>
        <w:jc w:val="both"/>
        <w:rPr>
          <w:sz w:val="24"/>
          <w:szCs w:val="24"/>
        </w:rPr>
      </w:pPr>
    </w:p>
    <w:p w:rsidR="00E85D42" w:rsidRDefault="008113B9">
      <w:pPr>
        <w:jc w:val="right"/>
        <w:rPr>
          <w:sz w:val="24"/>
          <w:szCs w:val="24"/>
        </w:rPr>
      </w:pPr>
      <w:r>
        <w:rPr>
          <w:sz w:val="24"/>
          <w:szCs w:val="24"/>
        </w:rPr>
        <w:t>Таблица 3.1.4.3</w:t>
      </w:r>
    </w:p>
    <w:p w:rsidR="00E85D42" w:rsidRDefault="008113B9">
      <w:pPr>
        <w:jc w:val="both"/>
      </w:pPr>
      <w:r>
        <w:rPr>
          <w:noProof/>
          <w:sz w:val="24"/>
          <w:szCs w:val="24"/>
        </w:rPr>
        <w:drawing>
          <wp:inline distT="0" distB="0" distL="0" distR="0">
            <wp:extent cx="5940427" cy="2502008"/>
            <wp:effectExtent l="0" t="0" r="3173" b="0"/>
            <wp:docPr id="87" name="Рисунок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rcRect t="11017"/>
                    <a:stretch>
                      <a:fillRect/>
                    </a:stretch>
                  </pic:blipFill>
                  <pic:spPr>
                    <a:xfrm>
                      <a:off x="0" y="0"/>
                      <a:ext cx="5940427" cy="2502008"/>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E85D42">
      <w:pPr>
        <w:ind w:firstLine="709"/>
        <w:jc w:val="both"/>
        <w:rPr>
          <w:b/>
          <w:i/>
          <w:sz w:val="24"/>
          <w:szCs w:val="24"/>
        </w:rPr>
      </w:pPr>
    </w:p>
    <w:p w:rsidR="00E85D42" w:rsidRDefault="008113B9">
      <w:pPr>
        <w:ind w:firstLine="709"/>
        <w:jc w:val="both"/>
        <w:rPr>
          <w:b/>
          <w:i/>
          <w:sz w:val="24"/>
          <w:szCs w:val="24"/>
        </w:rPr>
      </w:pPr>
      <w:r>
        <w:rPr>
          <w:b/>
          <w:i/>
          <w:sz w:val="24"/>
          <w:szCs w:val="24"/>
        </w:rPr>
        <w:t>Земли особо охраняемых территорий и объектов</w:t>
      </w:r>
    </w:p>
    <w:p w:rsidR="00E85D42" w:rsidRDefault="008113B9">
      <w:pPr>
        <w:ind w:firstLine="709"/>
        <w:jc w:val="both"/>
        <w:rPr>
          <w:sz w:val="24"/>
          <w:szCs w:val="24"/>
        </w:rPr>
      </w:pPr>
      <w:r>
        <w:rPr>
          <w:sz w:val="24"/>
          <w:szCs w:val="24"/>
        </w:rPr>
        <w:t>К землям особо охраняемых территорий относятся земли, которые имеют особое природоохранное, научное, ис</w:t>
      </w:r>
      <w:r>
        <w:rPr>
          <w:sz w:val="24"/>
          <w:szCs w:val="24"/>
        </w:rPr>
        <w:t xml:space="preserve">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w:t>
      </w:r>
      <w:r>
        <w:rPr>
          <w:sz w:val="24"/>
          <w:szCs w:val="24"/>
        </w:rPr>
        <w:t>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E85D42" w:rsidRDefault="008113B9">
      <w:pPr>
        <w:ind w:firstLine="709"/>
        <w:jc w:val="both"/>
        <w:rPr>
          <w:sz w:val="24"/>
          <w:szCs w:val="24"/>
        </w:rPr>
      </w:pPr>
      <w:r>
        <w:rPr>
          <w:sz w:val="24"/>
          <w:szCs w:val="24"/>
        </w:rPr>
        <w:t>Категория земель особо охраняемых территорий природоохранного, оздоровительного, рекреационного и историко-куль</w:t>
      </w:r>
      <w:r>
        <w:rPr>
          <w:sz w:val="24"/>
          <w:szCs w:val="24"/>
        </w:rPr>
        <w:t>турного назначения республики занимает 412,1 тыс.га и представлена, в основном, лесами – 348,5 тыс.га или 84,6%. В указанную категорию включены земельные участки особо охраняемых природных территорий, исключенные в установленном порядке из состава других з</w:t>
      </w:r>
      <w:r>
        <w:rPr>
          <w:sz w:val="24"/>
          <w:szCs w:val="24"/>
        </w:rPr>
        <w:t>емлепользований.</w:t>
      </w:r>
    </w:p>
    <w:p w:rsidR="00E85D42" w:rsidRDefault="008113B9">
      <w:pPr>
        <w:ind w:firstLine="709"/>
        <w:jc w:val="both"/>
        <w:rPr>
          <w:sz w:val="24"/>
          <w:szCs w:val="24"/>
        </w:rPr>
      </w:pPr>
      <w:r>
        <w:rPr>
          <w:sz w:val="24"/>
          <w:szCs w:val="24"/>
        </w:rPr>
        <w:t>Основную площадь земель этой категории (407 тыс.га) составляют заповедники - ФГУ «Башкирский государственный природный заповедник», ФГУ заповедник «Шульган-Таш», ФГУ «Южно-Уральский государственный природный заповедник», а также ФГУ «Нацио</w:t>
      </w:r>
      <w:r>
        <w:rPr>
          <w:sz w:val="24"/>
          <w:szCs w:val="24"/>
        </w:rPr>
        <w:t>нальный парк «Башкирия». Здесь же учитываются земли домов отдыха, санаториев, курортов, туристических баз и детских оздоровительных лагерей, кладбищ, которым предоставлены земли в установленном порядке.</w:t>
      </w:r>
    </w:p>
    <w:p w:rsidR="00E85D42" w:rsidRDefault="008113B9">
      <w:pPr>
        <w:ind w:firstLine="709"/>
        <w:jc w:val="both"/>
        <w:rPr>
          <w:sz w:val="24"/>
          <w:szCs w:val="24"/>
        </w:rPr>
      </w:pPr>
      <w:r>
        <w:rPr>
          <w:sz w:val="24"/>
          <w:szCs w:val="24"/>
        </w:rPr>
        <w:t>Распределение земель природоохранного, рекреационного</w:t>
      </w:r>
      <w:r>
        <w:rPr>
          <w:sz w:val="24"/>
          <w:szCs w:val="24"/>
        </w:rPr>
        <w:t>, оздоровительного назначения по видам угодий приведено в таблице 3.1.4.4.</w:t>
      </w:r>
    </w:p>
    <w:p w:rsidR="00E85D42" w:rsidRDefault="008113B9">
      <w:pPr>
        <w:ind w:firstLine="709"/>
        <w:jc w:val="both"/>
        <w:rPr>
          <w:sz w:val="24"/>
          <w:szCs w:val="24"/>
        </w:rPr>
      </w:pPr>
      <w:r>
        <w:rPr>
          <w:sz w:val="24"/>
          <w:szCs w:val="24"/>
        </w:rPr>
        <w:t>Общая площадь рассматриваемой категории за отчетный период не изменилась.</w:t>
      </w:r>
    </w:p>
    <w:p w:rsidR="00E85D42" w:rsidRDefault="008113B9">
      <w:pPr>
        <w:ind w:firstLine="709"/>
        <w:jc w:val="right"/>
        <w:rPr>
          <w:sz w:val="24"/>
          <w:szCs w:val="24"/>
        </w:rPr>
      </w:pPr>
      <w:r>
        <w:rPr>
          <w:sz w:val="24"/>
          <w:szCs w:val="24"/>
        </w:rPr>
        <w:t>Таблица 3.1.4.4</w:t>
      </w:r>
    </w:p>
    <w:p w:rsidR="00E85D42" w:rsidRDefault="008113B9">
      <w:pPr>
        <w:jc w:val="both"/>
      </w:pPr>
      <w:r>
        <w:rPr>
          <w:noProof/>
          <w:sz w:val="24"/>
          <w:szCs w:val="24"/>
        </w:rPr>
        <w:drawing>
          <wp:inline distT="0" distB="0" distL="0" distR="0">
            <wp:extent cx="5940427" cy="4002127"/>
            <wp:effectExtent l="0" t="0" r="3173" b="0"/>
            <wp:docPr id="88" name="Рисунок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rcRect t="6128"/>
                    <a:stretch>
                      <a:fillRect/>
                    </a:stretch>
                  </pic:blipFill>
                  <pic:spPr>
                    <a:xfrm>
                      <a:off x="0" y="0"/>
                      <a:ext cx="5940427" cy="4002127"/>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Земли лесного фонда</w:t>
      </w:r>
    </w:p>
    <w:p w:rsidR="00E85D42" w:rsidRDefault="008113B9">
      <w:pPr>
        <w:ind w:firstLine="709"/>
        <w:jc w:val="both"/>
        <w:rPr>
          <w:sz w:val="24"/>
          <w:szCs w:val="24"/>
        </w:rPr>
      </w:pPr>
      <w:r>
        <w:rPr>
          <w:sz w:val="24"/>
          <w:szCs w:val="24"/>
        </w:rPr>
        <w:t>К землям лесного фонда относятся лесные земли (земли, покрытые лесно</w:t>
      </w:r>
      <w:r>
        <w:rPr>
          <w:sz w:val="24"/>
          <w:szCs w:val="24"/>
        </w:rPr>
        <w:t>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E85D42" w:rsidRDefault="008113B9">
      <w:pPr>
        <w:ind w:firstLine="709"/>
        <w:jc w:val="both"/>
        <w:rPr>
          <w:sz w:val="24"/>
          <w:szCs w:val="24"/>
        </w:rPr>
      </w:pPr>
      <w:r>
        <w:rPr>
          <w:sz w:val="24"/>
          <w:szCs w:val="24"/>
        </w:rPr>
        <w:t>По состоянию на 1 января 2019 года</w:t>
      </w:r>
      <w:r>
        <w:rPr>
          <w:sz w:val="24"/>
          <w:szCs w:val="24"/>
        </w:rPr>
        <w:t xml:space="preserve"> площадь категории земель лесного фонда составила 5722,7 тыс.га. Основную долю – 5255,6 тыс.га или 91,8% составляют леса. Сельскохозяйственные угодья занимают 261,8 тыс.га (4,6%) (таблица 3.1.4.5).</w:t>
      </w:r>
    </w:p>
    <w:p w:rsidR="00E85D42" w:rsidRDefault="008113B9">
      <w:pPr>
        <w:jc w:val="right"/>
        <w:rPr>
          <w:sz w:val="24"/>
          <w:szCs w:val="24"/>
        </w:rPr>
      </w:pPr>
      <w:r>
        <w:rPr>
          <w:sz w:val="24"/>
          <w:szCs w:val="24"/>
        </w:rPr>
        <w:t>Таблица 3.1.4.5</w:t>
      </w:r>
    </w:p>
    <w:p w:rsidR="00E85D42" w:rsidRDefault="008113B9">
      <w:pPr>
        <w:jc w:val="both"/>
      </w:pPr>
      <w:r>
        <w:rPr>
          <w:noProof/>
          <w:sz w:val="24"/>
          <w:szCs w:val="24"/>
        </w:rPr>
        <w:drawing>
          <wp:inline distT="0" distB="0" distL="0" distR="0">
            <wp:extent cx="5940427" cy="2849197"/>
            <wp:effectExtent l="0" t="0" r="3173" b="8303"/>
            <wp:docPr id="89" name="Рисунок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rcRect t="9775"/>
                    <a:stretch>
                      <a:fillRect/>
                    </a:stretch>
                  </pic:blipFill>
                  <pic:spPr>
                    <a:xfrm>
                      <a:off x="0" y="0"/>
                      <a:ext cx="5940427" cy="2849197"/>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В 2018 году по сравнению с предшествующ</w:t>
      </w:r>
      <w:r>
        <w:rPr>
          <w:sz w:val="24"/>
          <w:szCs w:val="24"/>
        </w:rPr>
        <w:t>им годом площадь земель данной категории увеличилась на 1,2 тыс.га. Основные изменения связаны с переводом земель, выделенных из земель категории населенных пунктов (распоряжением Правительства Республики Башкортостан от 13 мая 2008 № 154).</w:t>
      </w:r>
    </w:p>
    <w:p w:rsidR="00E85D42" w:rsidRDefault="00E85D42">
      <w:pPr>
        <w:jc w:val="both"/>
        <w:rPr>
          <w:sz w:val="24"/>
          <w:szCs w:val="24"/>
        </w:rPr>
      </w:pPr>
    </w:p>
    <w:p w:rsidR="00E85D42" w:rsidRDefault="008113B9">
      <w:pPr>
        <w:ind w:firstLine="709"/>
        <w:jc w:val="both"/>
        <w:rPr>
          <w:b/>
          <w:i/>
          <w:sz w:val="24"/>
          <w:szCs w:val="24"/>
        </w:rPr>
      </w:pPr>
      <w:r>
        <w:rPr>
          <w:b/>
          <w:i/>
          <w:sz w:val="24"/>
          <w:szCs w:val="24"/>
        </w:rPr>
        <w:t xml:space="preserve">Земли водного </w:t>
      </w:r>
      <w:r>
        <w:rPr>
          <w:b/>
          <w:i/>
          <w:sz w:val="24"/>
          <w:szCs w:val="24"/>
        </w:rPr>
        <w:t>фонда</w:t>
      </w:r>
    </w:p>
    <w:p w:rsidR="00E85D42" w:rsidRDefault="008113B9">
      <w:pPr>
        <w:ind w:firstLine="709"/>
        <w:jc w:val="both"/>
        <w:rPr>
          <w:sz w:val="24"/>
          <w:szCs w:val="24"/>
        </w:rPr>
      </w:pPr>
      <w:r>
        <w:rPr>
          <w:sz w:val="24"/>
          <w:szCs w:val="24"/>
        </w:rPr>
        <w:t>В соответствии с Земельным кодексом Российской Федерации и Водным кодексом Российской Федерации к категории земель водного фонда относятся земли, покрытые поверхностными водами, сосредоточенными в водных объектах, занятые гидротехническими и иными со</w:t>
      </w:r>
      <w:r>
        <w:rPr>
          <w:sz w:val="24"/>
          <w:szCs w:val="24"/>
        </w:rPr>
        <w:t>оружениями, расположенными на водных объектах.</w:t>
      </w:r>
    </w:p>
    <w:p w:rsidR="00E85D42" w:rsidRDefault="008113B9">
      <w:pPr>
        <w:ind w:firstLine="709"/>
        <w:jc w:val="both"/>
        <w:rPr>
          <w:sz w:val="24"/>
          <w:szCs w:val="24"/>
        </w:rPr>
      </w:pPr>
      <w:r>
        <w:rPr>
          <w:sz w:val="24"/>
          <w:szCs w:val="24"/>
        </w:rPr>
        <w:t>Общая площадь земель водного фонда в республике составляет 77,9 тыс.га или 0,5 % земельного фонда. Распределение земель водного фонда по угодьям представлено в таблице 3.1.4.6.</w:t>
      </w:r>
    </w:p>
    <w:p w:rsidR="00E85D42" w:rsidRDefault="008113B9">
      <w:pPr>
        <w:jc w:val="right"/>
        <w:rPr>
          <w:sz w:val="24"/>
          <w:szCs w:val="24"/>
        </w:rPr>
      </w:pPr>
      <w:r>
        <w:rPr>
          <w:sz w:val="24"/>
          <w:szCs w:val="24"/>
        </w:rPr>
        <w:t>Таблица 3.1.4.6</w:t>
      </w:r>
    </w:p>
    <w:p w:rsidR="00E85D42" w:rsidRDefault="008113B9">
      <w:pPr>
        <w:jc w:val="both"/>
      </w:pPr>
      <w:r>
        <w:rPr>
          <w:noProof/>
          <w:sz w:val="24"/>
          <w:szCs w:val="24"/>
        </w:rPr>
        <w:drawing>
          <wp:inline distT="0" distB="0" distL="0" distR="0">
            <wp:extent cx="5940427" cy="1436056"/>
            <wp:effectExtent l="0" t="0" r="3173" b="0"/>
            <wp:docPr id="90" name="Рисунок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rcRect t="14789"/>
                    <a:stretch>
                      <a:fillRect/>
                    </a:stretch>
                  </pic:blipFill>
                  <pic:spPr>
                    <a:xfrm>
                      <a:off x="0" y="0"/>
                      <a:ext cx="5940427" cy="1436056"/>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 xml:space="preserve">Наибольшие </w:t>
      </w:r>
      <w:r>
        <w:rPr>
          <w:sz w:val="24"/>
          <w:szCs w:val="24"/>
        </w:rPr>
        <w:t>площади земель данной категории находятся в Караидельском районе – 12,3 тыс.га, Абзелиловском районе – 7,7 тыс.га, Дюртюлинском районе – 6,3 тыс.га, Учалинском районе – 6,2 тыс.га и Бирском районе – 6,1 тыс.га.</w:t>
      </w:r>
    </w:p>
    <w:p w:rsidR="00E85D42" w:rsidRDefault="008113B9">
      <w:pPr>
        <w:ind w:firstLine="709"/>
        <w:jc w:val="both"/>
        <w:rPr>
          <w:sz w:val="24"/>
          <w:szCs w:val="24"/>
        </w:rPr>
      </w:pPr>
      <w:r>
        <w:rPr>
          <w:sz w:val="24"/>
          <w:szCs w:val="24"/>
        </w:rPr>
        <w:t>Под водой находится 99,2 % всей территории зе</w:t>
      </w:r>
      <w:r>
        <w:rPr>
          <w:sz w:val="24"/>
          <w:szCs w:val="24"/>
        </w:rPr>
        <w:t>мель водного фонда.</w:t>
      </w:r>
    </w:p>
    <w:p w:rsidR="00E85D42" w:rsidRDefault="008113B9">
      <w:pPr>
        <w:ind w:firstLine="709"/>
        <w:jc w:val="both"/>
        <w:rPr>
          <w:sz w:val="24"/>
          <w:szCs w:val="24"/>
        </w:rPr>
      </w:pPr>
      <w:r>
        <w:rPr>
          <w:sz w:val="24"/>
          <w:szCs w:val="24"/>
        </w:rPr>
        <w:t>Общая площадь земель рассматриваемой категории за истекший период не изменилась.</w:t>
      </w: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Земли запаса</w:t>
      </w:r>
    </w:p>
    <w:p w:rsidR="00E85D42" w:rsidRDefault="008113B9">
      <w:pPr>
        <w:ind w:firstLine="709"/>
        <w:jc w:val="both"/>
        <w:rPr>
          <w:sz w:val="24"/>
          <w:szCs w:val="24"/>
        </w:rPr>
      </w:pPr>
      <w:r>
        <w:rPr>
          <w:sz w:val="24"/>
          <w:szCs w:val="24"/>
        </w:rPr>
        <w:t xml:space="preserve">К категории земель запаса относятся земли, находящиеся в государственной или муниципальной собственности, и не предоставленные гражданам или </w:t>
      </w:r>
      <w:r>
        <w:rPr>
          <w:sz w:val="24"/>
          <w:szCs w:val="24"/>
        </w:rPr>
        <w:t>юридическим лицам, за исключением земель фонда перераспределения земель. Площадь земель запаса по состоянию на 1 января 2019 года составляет 21,4 тыс.га или 0,2 % всего земельного фонда республики.</w:t>
      </w:r>
    </w:p>
    <w:p w:rsidR="00E85D42" w:rsidRDefault="008113B9">
      <w:pPr>
        <w:ind w:firstLine="709"/>
        <w:jc w:val="both"/>
        <w:rPr>
          <w:sz w:val="24"/>
          <w:szCs w:val="24"/>
        </w:rPr>
      </w:pPr>
      <w:r>
        <w:rPr>
          <w:sz w:val="24"/>
          <w:szCs w:val="24"/>
        </w:rPr>
        <w:t>В составе земель запаса 7,5 тыс.га занимают сельскохозяйст</w:t>
      </w:r>
      <w:r>
        <w:rPr>
          <w:sz w:val="24"/>
          <w:szCs w:val="24"/>
        </w:rPr>
        <w:t>венные угодья, в том числе 1,9 тыс.га – пашня. Это, в основном, удаленные, труднодоступные участки. Распределение земель запаса по угодьям представлено в таблице 3.1.4.7.</w:t>
      </w:r>
    </w:p>
    <w:p w:rsidR="00E85D42" w:rsidRDefault="008113B9">
      <w:pPr>
        <w:ind w:firstLine="709"/>
        <w:jc w:val="right"/>
        <w:rPr>
          <w:sz w:val="24"/>
          <w:szCs w:val="24"/>
        </w:rPr>
      </w:pPr>
      <w:r>
        <w:rPr>
          <w:sz w:val="24"/>
          <w:szCs w:val="24"/>
        </w:rPr>
        <w:t>Таблица 3.1.4.7</w:t>
      </w:r>
    </w:p>
    <w:p w:rsidR="00E85D42" w:rsidRDefault="008113B9">
      <w:pPr>
        <w:jc w:val="both"/>
      </w:pPr>
      <w:r>
        <w:rPr>
          <w:noProof/>
          <w:sz w:val="24"/>
          <w:szCs w:val="24"/>
        </w:rPr>
        <w:drawing>
          <wp:inline distT="0" distB="0" distL="0" distR="0">
            <wp:extent cx="5940427" cy="1987777"/>
            <wp:effectExtent l="0" t="0" r="3173" b="0"/>
            <wp:docPr id="91" name="Рисунок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rcRect t="11170"/>
                    <a:stretch>
                      <a:fillRect/>
                    </a:stretch>
                  </pic:blipFill>
                  <pic:spPr>
                    <a:xfrm>
                      <a:off x="0" y="0"/>
                      <a:ext cx="5940427" cy="1987777"/>
                    </a:xfrm>
                    <a:prstGeom prst="rect">
                      <a:avLst/>
                    </a:prstGeom>
                    <a:noFill/>
                    <a:ln>
                      <a:noFill/>
                      <a:prstDash/>
                    </a:ln>
                  </pic:spPr>
                </pic:pic>
              </a:graphicData>
            </a:graphic>
          </wp:inline>
        </w:drawing>
      </w:r>
    </w:p>
    <w:p w:rsidR="00E85D42" w:rsidRDefault="00E85D42">
      <w:pPr>
        <w:jc w:val="both"/>
        <w:rPr>
          <w:b/>
          <w:i/>
          <w:sz w:val="24"/>
          <w:szCs w:val="24"/>
        </w:rPr>
      </w:pPr>
    </w:p>
    <w:p w:rsidR="00E85D42" w:rsidRDefault="008113B9">
      <w:pPr>
        <w:ind w:firstLine="709"/>
        <w:jc w:val="center"/>
        <w:rPr>
          <w:b/>
          <w:i/>
          <w:sz w:val="24"/>
          <w:szCs w:val="24"/>
        </w:rPr>
      </w:pPr>
      <w:r>
        <w:rPr>
          <w:b/>
          <w:i/>
          <w:sz w:val="24"/>
          <w:szCs w:val="24"/>
        </w:rPr>
        <w:t>Распределение земель в Республике Башкортостан по формам собственн</w:t>
      </w:r>
      <w:r>
        <w:rPr>
          <w:b/>
          <w:i/>
          <w:sz w:val="24"/>
          <w:szCs w:val="24"/>
        </w:rPr>
        <w:t>ости и принадлежности Российской Федерации, Республике Башкортостан и муниципальным образованиям</w:t>
      </w:r>
    </w:p>
    <w:p w:rsidR="00E85D42" w:rsidRDefault="008113B9">
      <w:pPr>
        <w:ind w:firstLine="709"/>
        <w:jc w:val="both"/>
        <w:rPr>
          <w:sz w:val="24"/>
          <w:szCs w:val="24"/>
        </w:rPr>
      </w:pPr>
      <w:r>
        <w:rPr>
          <w:sz w:val="24"/>
          <w:szCs w:val="24"/>
        </w:rPr>
        <w:t xml:space="preserve">По состоянию на 1 января 2019 года в структуре земельного фонда доля земель, находящихся в государственной и муниципальной собственности, составляет 83,7% или </w:t>
      </w:r>
      <w:r>
        <w:rPr>
          <w:sz w:val="24"/>
          <w:szCs w:val="24"/>
        </w:rPr>
        <w:t>11964,0 тыс.га. Структура земель в Республике Башкортостан по формам собственности представлена на рисунке 3.1.4.5 и в таблице 3.1.4.8.</w:t>
      </w:r>
    </w:p>
    <w:p w:rsidR="00E85D42" w:rsidRDefault="008113B9">
      <w:pPr>
        <w:ind w:firstLine="709"/>
        <w:jc w:val="both"/>
        <w:rPr>
          <w:sz w:val="24"/>
          <w:szCs w:val="24"/>
        </w:rPr>
      </w:pPr>
      <w:r>
        <w:rPr>
          <w:sz w:val="24"/>
          <w:szCs w:val="24"/>
        </w:rPr>
        <w:t>В собственности граждан находится 2298,6 тыс.га или 16,1 % земельного фонда республики. Земельные доли граждан в земельн</w:t>
      </w:r>
      <w:r>
        <w:rPr>
          <w:sz w:val="24"/>
          <w:szCs w:val="24"/>
        </w:rPr>
        <w:t>ом фонде республики составили 15,2 % (2168,5 тыс.га) или 94,3 % земель, находящихся в частной собственности в целом по республике. В течение 2018 года площадь земель, находящихся в частной собственности граждан, уменьшилась на 18,4 тыс.га.</w:t>
      </w:r>
    </w:p>
    <w:p w:rsidR="00E85D42" w:rsidRDefault="008113B9">
      <w:pPr>
        <w:rPr>
          <w:sz w:val="24"/>
          <w:szCs w:val="24"/>
        </w:rPr>
      </w:pPr>
      <w:r>
        <w:rPr>
          <w:sz w:val="24"/>
          <w:szCs w:val="24"/>
        </w:rPr>
        <w:t xml:space="preserve">В собственности </w:t>
      </w:r>
      <w:r>
        <w:rPr>
          <w:sz w:val="24"/>
          <w:szCs w:val="24"/>
        </w:rPr>
        <w:t>юридических лиц находится 32,1 тыс.га (0,2%).</w:t>
      </w: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8113B9">
      <w:pPr>
        <w:ind w:firstLine="709"/>
        <w:jc w:val="center"/>
        <w:rPr>
          <w:sz w:val="24"/>
          <w:szCs w:val="24"/>
        </w:rPr>
      </w:pPr>
      <w:r>
        <w:rPr>
          <w:sz w:val="24"/>
          <w:szCs w:val="24"/>
        </w:rPr>
        <w:t>Структура земель в Республике Башкортостан по формам собственности</w:t>
      </w:r>
    </w:p>
    <w:p w:rsidR="00E85D42" w:rsidRDefault="008113B9">
      <w:pPr>
        <w:ind w:firstLine="709"/>
        <w:jc w:val="right"/>
        <w:rPr>
          <w:sz w:val="24"/>
          <w:szCs w:val="24"/>
        </w:rPr>
      </w:pPr>
      <w:r>
        <w:rPr>
          <w:sz w:val="24"/>
          <w:szCs w:val="24"/>
        </w:rPr>
        <w:t>Рисунок 3.1.4.5</w:t>
      </w:r>
    </w:p>
    <w:p w:rsidR="00E85D42" w:rsidRDefault="008113B9">
      <w:pPr>
        <w:jc w:val="both"/>
      </w:pPr>
      <w:r>
        <w:rPr>
          <w:noProof/>
          <w:sz w:val="24"/>
          <w:szCs w:val="24"/>
        </w:rPr>
        <w:drawing>
          <wp:inline distT="0" distB="0" distL="0" distR="0">
            <wp:extent cx="5867403" cy="3068086"/>
            <wp:effectExtent l="0" t="0" r="0" b="0"/>
            <wp:docPr id="92" name="Рисунок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rcRect b="21818"/>
                    <a:stretch>
                      <a:fillRect/>
                    </a:stretch>
                  </pic:blipFill>
                  <pic:spPr>
                    <a:xfrm>
                      <a:off x="0" y="0"/>
                      <a:ext cx="5867403" cy="3068086"/>
                    </a:xfrm>
                    <a:prstGeom prst="rect">
                      <a:avLst/>
                    </a:prstGeom>
                    <a:noFill/>
                    <a:ln>
                      <a:noFill/>
                      <a:prstDash/>
                    </a:ln>
                  </pic:spPr>
                </pic:pic>
              </a:graphicData>
            </a:graphic>
          </wp:inline>
        </w:drawing>
      </w:r>
    </w:p>
    <w:p w:rsidR="00E85D42" w:rsidRDefault="008113B9">
      <w:pPr>
        <w:ind w:firstLine="709"/>
        <w:jc w:val="both"/>
        <w:rPr>
          <w:sz w:val="24"/>
          <w:szCs w:val="24"/>
        </w:rPr>
      </w:pPr>
      <w:r>
        <w:rPr>
          <w:sz w:val="24"/>
          <w:szCs w:val="24"/>
        </w:rPr>
        <w:t>Таблица 3.1.4.8</w:t>
      </w:r>
    </w:p>
    <w:p w:rsidR="00E85D42" w:rsidRDefault="008113B9">
      <w:pPr>
        <w:jc w:val="both"/>
      </w:pPr>
      <w:r>
        <w:rPr>
          <w:noProof/>
          <w:sz w:val="24"/>
          <w:szCs w:val="24"/>
        </w:rPr>
        <w:drawing>
          <wp:inline distT="0" distB="0" distL="0" distR="0">
            <wp:extent cx="5940427" cy="2918362"/>
            <wp:effectExtent l="0" t="0" r="3173" b="0"/>
            <wp:docPr id="93" name="Рисунок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rcRect t="11192"/>
                    <a:stretch>
                      <a:fillRect/>
                    </a:stretch>
                  </pic:blipFill>
                  <pic:spPr>
                    <a:xfrm>
                      <a:off x="0" y="0"/>
                      <a:ext cx="5940427" cy="2918362"/>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Из 11964 тыс.га земель государственной собственности зарегистрировано в установленном поря</w:t>
      </w:r>
      <w:r>
        <w:rPr>
          <w:sz w:val="24"/>
          <w:szCs w:val="24"/>
        </w:rPr>
        <w:t>дке право собственности Российской Федерации на 6141,5 тыс.га (51,3%), в основном, это земли лесного фонда, 90,7 тыс.га (0,8%) – право собственности Республики Башкортостан, 197,6 тыс.га (1,6%) – право муниципальной собственности, 5534,2 тыс.га (46,3%) – п</w:t>
      </w:r>
      <w:r>
        <w:rPr>
          <w:sz w:val="24"/>
          <w:szCs w:val="24"/>
        </w:rPr>
        <w:t>раво не разграничено (рисунок 3.1.4.6).</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8113B9">
      <w:pPr>
        <w:ind w:firstLine="709"/>
        <w:jc w:val="center"/>
        <w:rPr>
          <w:sz w:val="24"/>
          <w:szCs w:val="24"/>
        </w:rPr>
      </w:pPr>
      <w:r>
        <w:rPr>
          <w:sz w:val="24"/>
          <w:szCs w:val="24"/>
        </w:rPr>
        <w:t>Разграничение земель государственной собственности в Республике Башкортостан</w:t>
      </w:r>
    </w:p>
    <w:p w:rsidR="00E85D42" w:rsidRDefault="008113B9">
      <w:pPr>
        <w:ind w:firstLine="709"/>
        <w:jc w:val="right"/>
        <w:rPr>
          <w:sz w:val="24"/>
          <w:szCs w:val="24"/>
        </w:rPr>
      </w:pPr>
      <w:r>
        <w:rPr>
          <w:sz w:val="24"/>
          <w:szCs w:val="24"/>
        </w:rPr>
        <w:t>Рисунок 3.1.4.6</w:t>
      </w:r>
    </w:p>
    <w:p w:rsidR="00E85D42" w:rsidRDefault="00E85D42">
      <w:pPr>
        <w:jc w:val="both"/>
        <w:rPr>
          <w:sz w:val="24"/>
          <w:szCs w:val="24"/>
        </w:rPr>
      </w:pPr>
    </w:p>
    <w:p w:rsidR="00E85D42" w:rsidRDefault="008113B9">
      <w:pPr>
        <w:jc w:val="both"/>
      </w:pPr>
      <w:r>
        <w:rPr>
          <w:noProof/>
          <w:sz w:val="24"/>
          <w:szCs w:val="24"/>
        </w:rPr>
        <w:drawing>
          <wp:inline distT="0" distB="0" distL="0" distR="0">
            <wp:extent cx="5940427" cy="3237707"/>
            <wp:effectExtent l="0" t="0" r="3173" b="793"/>
            <wp:docPr id="94" name="Рисунок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rcRect b="17523"/>
                    <a:stretch>
                      <a:fillRect/>
                    </a:stretch>
                  </pic:blipFill>
                  <pic:spPr>
                    <a:xfrm>
                      <a:off x="0" y="0"/>
                      <a:ext cx="5940427" cy="3237707"/>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Из 6141,5 тыс.га земель, находящихся в собственности Российской Федерации, используется юридическими лицами на</w:t>
      </w:r>
      <w:r>
        <w:rPr>
          <w:sz w:val="24"/>
          <w:szCs w:val="24"/>
        </w:rPr>
        <w:t xml:space="preserve"> праве постоянного (бессрочного) пользования 431,2 тыс.га, юридическими лицами и гражданами на праве аренды – 1458,6 тыс.га.</w:t>
      </w:r>
    </w:p>
    <w:p w:rsidR="00E85D42" w:rsidRDefault="008113B9">
      <w:pPr>
        <w:ind w:firstLine="709"/>
        <w:jc w:val="both"/>
      </w:pPr>
      <w:r>
        <w:rPr>
          <w:sz w:val="24"/>
          <w:szCs w:val="24"/>
        </w:rPr>
        <w:t>Из 6141,5 тыс.га земель, находящихся в собственности Российской Федерации, 45,8 тыс.га – земли сельскохозяйственного назначения, 12</w:t>
      </w:r>
      <w:r>
        <w:rPr>
          <w:sz w:val="24"/>
          <w:szCs w:val="24"/>
        </w:rPr>
        <w:t>,6 тыс.га – земли населенных пунктов, 27,9 тыс.га – земли промышленности, 332,5 тыс.га – земли особо охраняемых природных территорий и объектов и 5722,7 тыс.га – земли лесного фонда (рисунок 3.1.4.7).</w:t>
      </w:r>
    </w:p>
    <w:p w:rsidR="00E85D42" w:rsidRDefault="00E85D42">
      <w:pPr>
        <w:ind w:firstLine="709"/>
        <w:jc w:val="center"/>
        <w:rPr>
          <w:sz w:val="24"/>
          <w:szCs w:val="24"/>
        </w:rPr>
      </w:pPr>
    </w:p>
    <w:p w:rsidR="00E85D42" w:rsidRDefault="008113B9">
      <w:pPr>
        <w:ind w:firstLine="709"/>
        <w:jc w:val="center"/>
        <w:rPr>
          <w:sz w:val="24"/>
          <w:szCs w:val="24"/>
        </w:rPr>
      </w:pPr>
      <w:r>
        <w:rPr>
          <w:sz w:val="24"/>
          <w:szCs w:val="24"/>
        </w:rPr>
        <w:t>Распределение земель, находящихся в собственности в Ро</w:t>
      </w:r>
      <w:r>
        <w:rPr>
          <w:sz w:val="24"/>
          <w:szCs w:val="24"/>
        </w:rPr>
        <w:t>ссийской Федерации</w:t>
      </w:r>
    </w:p>
    <w:p w:rsidR="00E85D42" w:rsidRDefault="008113B9">
      <w:pPr>
        <w:ind w:firstLine="709"/>
        <w:jc w:val="right"/>
        <w:rPr>
          <w:sz w:val="24"/>
          <w:szCs w:val="24"/>
        </w:rPr>
      </w:pPr>
      <w:r>
        <w:rPr>
          <w:sz w:val="24"/>
          <w:szCs w:val="24"/>
        </w:rPr>
        <w:t>Рисунок 3.1.4.7</w:t>
      </w:r>
    </w:p>
    <w:p w:rsidR="00E85D42" w:rsidRDefault="008113B9">
      <w:pPr>
        <w:jc w:val="both"/>
      </w:pPr>
      <w:r>
        <w:rPr>
          <w:noProof/>
          <w:sz w:val="24"/>
          <w:szCs w:val="24"/>
        </w:rPr>
        <w:drawing>
          <wp:inline distT="0" distB="0" distL="0" distR="0">
            <wp:extent cx="5940427" cy="3051956"/>
            <wp:effectExtent l="0" t="0" r="3173" b="0"/>
            <wp:docPr id="95" name="Рисунок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rcRect b="16558"/>
                    <a:stretch>
                      <a:fillRect/>
                    </a:stretch>
                  </pic:blipFill>
                  <pic:spPr>
                    <a:xfrm>
                      <a:off x="0" y="0"/>
                      <a:ext cx="5940427" cy="3051956"/>
                    </a:xfrm>
                    <a:prstGeom prst="rect">
                      <a:avLst/>
                    </a:prstGeom>
                    <a:noFill/>
                    <a:ln>
                      <a:noFill/>
                      <a:prstDash/>
                    </a:ln>
                  </pic:spPr>
                </pic:pic>
              </a:graphicData>
            </a:graphic>
          </wp:inline>
        </w:drawing>
      </w:r>
    </w:p>
    <w:p w:rsidR="00E85D42" w:rsidRDefault="008113B9">
      <w:pPr>
        <w:ind w:firstLine="709"/>
        <w:jc w:val="both"/>
        <w:rPr>
          <w:sz w:val="24"/>
          <w:szCs w:val="24"/>
        </w:rPr>
      </w:pPr>
      <w:r>
        <w:rPr>
          <w:sz w:val="24"/>
          <w:szCs w:val="24"/>
        </w:rPr>
        <w:t>Из 90,7 тыс.га земель, находящихся в собственности Республики Башкортостан, юридическими лицами используется 35,3 тыс.га земель на праве постоянного (бессрочного) пользования, 45,0 тыс.га земель предоставлены юридически</w:t>
      </w:r>
      <w:r>
        <w:rPr>
          <w:sz w:val="24"/>
          <w:szCs w:val="24"/>
        </w:rPr>
        <w:t>м лицам и гражданам в аренду.</w:t>
      </w:r>
    </w:p>
    <w:p w:rsidR="00E85D42" w:rsidRDefault="008113B9">
      <w:pPr>
        <w:ind w:firstLine="709"/>
        <w:jc w:val="both"/>
        <w:rPr>
          <w:sz w:val="24"/>
          <w:szCs w:val="24"/>
        </w:rPr>
      </w:pPr>
      <w:r>
        <w:rPr>
          <w:sz w:val="24"/>
          <w:szCs w:val="24"/>
        </w:rPr>
        <w:t>Из 90,7 тыс.га земель, находящихся в собственности Республики Башкортостан, 70,6 тыс.га – земли сельскохозяйственного назначения, 8,7 тыс.га – земли населенных пунктов, 9,4 тыс.га – земли промышленности, 1,9 тыс.га – земли осо</w:t>
      </w:r>
      <w:r>
        <w:rPr>
          <w:sz w:val="24"/>
          <w:szCs w:val="24"/>
        </w:rPr>
        <w:t>бо охраняемых природных территорий и объектов и 0,1 тыс.га – земли запаса (рисунок 3.1.4.8).</w:t>
      </w:r>
    </w:p>
    <w:p w:rsidR="00E85D42" w:rsidRDefault="00E85D42">
      <w:pPr>
        <w:ind w:firstLine="709"/>
        <w:jc w:val="both"/>
        <w:rPr>
          <w:sz w:val="24"/>
          <w:szCs w:val="24"/>
        </w:rPr>
      </w:pPr>
    </w:p>
    <w:p w:rsidR="00E85D42" w:rsidRDefault="008113B9">
      <w:pPr>
        <w:ind w:firstLine="709"/>
        <w:jc w:val="center"/>
        <w:rPr>
          <w:sz w:val="24"/>
          <w:szCs w:val="24"/>
        </w:rPr>
      </w:pPr>
      <w:r>
        <w:rPr>
          <w:sz w:val="24"/>
          <w:szCs w:val="24"/>
        </w:rPr>
        <w:t>Распределение земель, находящихся в собственности Республики Башкортостан</w:t>
      </w:r>
    </w:p>
    <w:p w:rsidR="00E85D42" w:rsidRDefault="008113B9">
      <w:pPr>
        <w:ind w:firstLine="709"/>
        <w:jc w:val="right"/>
        <w:rPr>
          <w:sz w:val="24"/>
          <w:szCs w:val="24"/>
        </w:rPr>
      </w:pPr>
      <w:r>
        <w:rPr>
          <w:sz w:val="24"/>
          <w:szCs w:val="24"/>
        </w:rPr>
        <w:t>Рисунок 3.1.4.8</w:t>
      </w:r>
    </w:p>
    <w:p w:rsidR="00E85D42" w:rsidRDefault="008113B9">
      <w:pPr>
        <w:jc w:val="both"/>
      </w:pPr>
      <w:r>
        <w:rPr>
          <w:noProof/>
          <w:sz w:val="24"/>
          <w:szCs w:val="24"/>
        </w:rPr>
        <w:drawing>
          <wp:inline distT="0" distB="0" distL="0" distR="0">
            <wp:extent cx="5895978" cy="2983650"/>
            <wp:effectExtent l="0" t="0" r="9522" b="7200"/>
            <wp:docPr id="96" name="Рисунок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rcRect b="16468"/>
                    <a:stretch>
                      <a:fillRect/>
                    </a:stretch>
                  </pic:blipFill>
                  <pic:spPr>
                    <a:xfrm>
                      <a:off x="0" y="0"/>
                      <a:ext cx="5895978" cy="2983650"/>
                    </a:xfrm>
                    <a:prstGeom prst="rect">
                      <a:avLst/>
                    </a:prstGeom>
                    <a:noFill/>
                    <a:ln>
                      <a:noFill/>
                      <a:prstDash/>
                    </a:ln>
                  </pic:spPr>
                </pic:pic>
              </a:graphicData>
            </a:graphic>
          </wp:inline>
        </w:drawing>
      </w:r>
    </w:p>
    <w:p w:rsidR="00E85D42" w:rsidRDefault="008113B9">
      <w:pPr>
        <w:ind w:firstLine="709"/>
        <w:jc w:val="both"/>
        <w:rPr>
          <w:sz w:val="24"/>
          <w:szCs w:val="24"/>
        </w:rPr>
      </w:pPr>
      <w:r>
        <w:rPr>
          <w:sz w:val="24"/>
          <w:szCs w:val="24"/>
        </w:rPr>
        <w:t>Из 197,6 тыс.га земель, находящихся в муниципальной собственности, 174</w:t>
      </w:r>
      <w:r>
        <w:rPr>
          <w:sz w:val="24"/>
          <w:szCs w:val="24"/>
        </w:rPr>
        <w:t xml:space="preserve">,4 тыс.га – земли сельскохозяйственного назначения, 19,5 тыс.га – земли населенных пунктов, 3,5 тыс.га – земли промышленности, 0,2 тыс.га – земли особо охраняемых территорий и объектов (рисунок 3.1.4.9). </w:t>
      </w:r>
    </w:p>
    <w:p w:rsidR="00E85D42" w:rsidRDefault="00E85D42">
      <w:pPr>
        <w:ind w:firstLine="709"/>
        <w:jc w:val="both"/>
        <w:rPr>
          <w:sz w:val="24"/>
          <w:szCs w:val="24"/>
        </w:rPr>
      </w:pPr>
    </w:p>
    <w:p w:rsidR="00E85D42" w:rsidRDefault="008113B9">
      <w:pPr>
        <w:ind w:firstLine="709"/>
        <w:jc w:val="center"/>
        <w:rPr>
          <w:sz w:val="24"/>
          <w:szCs w:val="24"/>
        </w:rPr>
      </w:pPr>
      <w:r>
        <w:rPr>
          <w:sz w:val="24"/>
          <w:szCs w:val="24"/>
        </w:rPr>
        <w:t xml:space="preserve">Распределение земель, находящихся в муниципальной </w:t>
      </w:r>
      <w:r>
        <w:rPr>
          <w:sz w:val="24"/>
          <w:szCs w:val="24"/>
        </w:rPr>
        <w:t xml:space="preserve">собственности </w:t>
      </w:r>
    </w:p>
    <w:p w:rsidR="00E85D42" w:rsidRDefault="008113B9">
      <w:pPr>
        <w:ind w:firstLine="709"/>
        <w:jc w:val="right"/>
        <w:rPr>
          <w:sz w:val="24"/>
          <w:szCs w:val="24"/>
        </w:rPr>
      </w:pPr>
      <w:r>
        <w:rPr>
          <w:sz w:val="24"/>
          <w:szCs w:val="24"/>
        </w:rPr>
        <w:t>Рисунок 3.1.4.9</w:t>
      </w:r>
    </w:p>
    <w:p w:rsidR="00E85D42" w:rsidRDefault="00E85D42">
      <w:pPr>
        <w:ind w:firstLine="709"/>
        <w:jc w:val="both"/>
        <w:rPr>
          <w:sz w:val="24"/>
          <w:szCs w:val="24"/>
        </w:rPr>
      </w:pPr>
    </w:p>
    <w:p w:rsidR="00E85D42" w:rsidRDefault="008113B9">
      <w:pPr>
        <w:jc w:val="both"/>
      </w:pPr>
      <w:r>
        <w:rPr>
          <w:noProof/>
          <w:sz w:val="24"/>
          <w:szCs w:val="24"/>
        </w:rPr>
        <w:drawing>
          <wp:inline distT="0" distB="0" distL="0" distR="0">
            <wp:extent cx="5940427" cy="2595167"/>
            <wp:effectExtent l="0" t="0" r="3173" b="0"/>
            <wp:docPr id="97" name="Рисунок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rcRect b="17736"/>
                    <a:stretch>
                      <a:fillRect/>
                    </a:stretch>
                  </pic:blipFill>
                  <pic:spPr>
                    <a:xfrm>
                      <a:off x="0" y="0"/>
                      <a:ext cx="5940427" cy="2595167"/>
                    </a:xfrm>
                    <a:prstGeom prst="rect">
                      <a:avLst/>
                    </a:prstGeom>
                    <a:noFill/>
                    <a:ln>
                      <a:noFill/>
                      <a:prstDash/>
                    </a:ln>
                  </pic:spPr>
                </pic:pic>
              </a:graphicData>
            </a:graphic>
          </wp:inline>
        </w:drawing>
      </w:r>
    </w:p>
    <w:p w:rsidR="00E85D42" w:rsidRDefault="00E85D42">
      <w:pPr>
        <w:ind w:firstLine="709"/>
        <w:jc w:val="both"/>
        <w:rPr>
          <w:b/>
          <w:i/>
          <w:sz w:val="24"/>
          <w:szCs w:val="24"/>
        </w:rPr>
      </w:pPr>
    </w:p>
    <w:p w:rsidR="00E85D42" w:rsidRDefault="008113B9">
      <w:pPr>
        <w:ind w:firstLine="709"/>
        <w:jc w:val="both"/>
        <w:rPr>
          <w:b/>
          <w:i/>
          <w:sz w:val="24"/>
          <w:szCs w:val="24"/>
        </w:rPr>
      </w:pPr>
      <w:r>
        <w:rPr>
          <w:b/>
          <w:i/>
          <w:sz w:val="24"/>
          <w:szCs w:val="24"/>
        </w:rPr>
        <w:t>Распределение земель населенных пунктов</w:t>
      </w:r>
    </w:p>
    <w:p w:rsidR="00E85D42" w:rsidRDefault="008113B9">
      <w:pPr>
        <w:ind w:firstLine="709"/>
        <w:jc w:val="both"/>
        <w:rPr>
          <w:sz w:val="24"/>
          <w:szCs w:val="24"/>
        </w:rPr>
      </w:pPr>
      <w:r>
        <w:rPr>
          <w:sz w:val="24"/>
          <w:szCs w:val="24"/>
        </w:rPr>
        <w:t xml:space="preserve">Площадь категории земель населенных пунктов составляет 670,2 тыс.га. Из указанной площади 112 тыс.га земель переданы в собственность граждан, в том числе 88,2 тыс.га для ведения </w:t>
      </w:r>
      <w:r>
        <w:rPr>
          <w:sz w:val="24"/>
          <w:szCs w:val="24"/>
        </w:rPr>
        <w:t>личного подсобного хозяйства, 4,2 тыс.га для ведения коллективного и индивидуального садоводства, 17,9 тыс.га для индивидуального жилищного строительства, 0,6 тыс.га земель выкуплены для коммерческих и других несельскохозяйственных целей. В собственности ю</w:t>
      </w:r>
      <w:r>
        <w:rPr>
          <w:sz w:val="24"/>
          <w:szCs w:val="24"/>
        </w:rPr>
        <w:t>ридических лиц находится 4,8 тыс.га.</w:t>
      </w:r>
    </w:p>
    <w:p w:rsidR="00E85D42" w:rsidRDefault="008113B9">
      <w:pPr>
        <w:ind w:firstLine="709"/>
        <w:jc w:val="both"/>
        <w:rPr>
          <w:sz w:val="24"/>
          <w:szCs w:val="24"/>
        </w:rPr>
      </w:pPr>
      <w:r>
        <w:rPr>
          <w:sz w:val="24"/>
          <w:szCs w:val="24"/>
        </w:rPr>
        <w:t>Основная часть земель данной категории – 553,4 тыс.га находится в государственной и муниципальной собственности, в том числе 12,6 тыс.га – в собственности Российской Федерации, 8,7 тыс.га – в собственности Республики Ба</w:t>
      </w:r>
      <w:r>
        <w:rPr>
          <w:sz w:val="24"/>
          <w:szCs w:val="24"/>
        </w:rPr>
        <w:t>шкортостан, 19,5 тыс. га – в муниципальной собственности, 512,6 тыс. га – право не разграничено.</w:t>
      </w:r>
    </w:p>
    <w:p w:rsidR="00E85D42" w:rsidRDefault="008113B9">
      <w:pPr>
        <w:ind w:firstLine="709"/>
        <w:jc w:val="both"/>
        <w:rPr>
          <w:sz w:val="24"/>
          <w:szCs w:val="24"/>
        </w:rPr>
      </w:pPr>
      <w:r>
        <w:rPr>
          <w:sz w:val="24"/>
          <w:szCs w:val="24"/>
        </w:rPr>
        <w:t>Распределение земель населенных пунктов по формам собственности представлено на рисунке 3.1.4.10.</w:t>
      </w:r>
    </w:p>
    <w:p w:rsidR="00E85D42" w:rsidRDefault="00E85D42">
      <w:pPr>
        <w:ind w:firstLine="709"/>
        <w:jc w:val="center"/>
        <w:rPr>
          <w:sz w:val="24"/>
          <w:szCs w:val="24"/>
        </w:rPr>
      </w:pPr>
    </w:p>
    <w:p w:rsidR="00E85D42" w:rsidRDefault="008113B9">
      <w:pPr>
        <w:ind w:firstLine="709"/>
        <w:jc w:val="center"/>
        <w:rPr>
          <w:sz w:val="24"/>
          <w:szCs w:val="24"/>
        </w:rPr>
      </w:pPr>
      <w:r>
        <w:rPr>
          <w:sz w:val="24"/>
          <w:szCs w:val="24"/>
        </w:rPr>
        <w:t>Распределение земель населенных пунктов по формам собственно</w:t>
      </w:r>
      <w:r>
        <w:rPr>
          <w:sz w:val="24"/>
          <w:szCs w:val="24"/>
        </w:rPr>
        <w:t xml:space="preserve">сти </w:t>
      </w:r>
    </w:p>
    <w:p w:rsidR="00E85D42" w:rsidRDefault="008113B9">
      <w:pPr>
        <w:jc w:val="right"/>
        <w:rPr>
          <w:sz w:val="24"/>
          <w:szCs w:val="24"/>
        </w:rPr>
      </w:pPr>
      <w:r>
        <w:rPr>
          <w:sz w:val="24"/>
          <w:szCs w:val="24"/>
        </w:rPr>
        <w:t>Рисунок 3.1.4.10</w:t>
      </w:r>
    </w:p>
    <w:p w:rsidR="00E85D42" w:rsidRDefault="008113B9">
      <w:pPr>
        <w:jc w:val="center"/>
      </w:pPr>
      <w:r>
        <w:rPr>
          <w:noProof/>
          <w:sz w:val="24"/>
          <w:szCs w:val="24"/>
        </w:rPr>
        <w:drawing>
          <wp:inline distT="0" distB="0" distL="0" distR="0">
            <wp:extent cx="5915025" cy="2925385"/>
            <wp:effectExtent l="0" t="0" r="9525" b="8315"/>
            <wp:docPr id="98" name="Рисунок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rcRect b="25454"/>
                    <a:stretch>
                      <a:fillRect/>
                    </a:stretch>
                  </pic:blipFill>
                  <pic:spPr>
                    <a:xfrm>
                      <a:off x="0" y="0"/>
                      <a:ext cx="5915025" cy="2925385"/>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sz w:val="24"/>
          <w:szCs w:val="24"/>
        </w:rPr>
      </w:pPr>
      <w:r>
        <w:rPr>
          <w:sz w:val="24"/>
          <w:szCs w:val="24"/>
        </w:rPr>
        <w:t>Наибольшие площади федеральных земель зарегистрированы в городах: Уфа – 2,9 тыс.га, Нефтекамск – 2,9 тыс.га, Межгорье – 1,7 тыс.га, Агидель – 1,4 тыс.га.</w:t>
      </w:r>
    </w:p>
    <w:p w:rsidR="00E85D42" w:rsidRDefault="008113B9">
      <w:pPr>
        <w:ind w:firstLine="709"/>
        <w:jc w:val="both"/>
        <w:rPr>
          <w:sz w:val="24"/>
          <w:szCs w:val="24"/>
        </w:rPr>
      </w:pPr>
      <w:r>
        <w:rPr>
          <w:sz w:val="24"/>
          <w:szCs w:val="24"/>
        </w:rPr>
        <w:t>Из 8,7 тыс.га земель, находящихся в собственности Республики Башкортостан, 3,</w:t>
      </w:r>
      <w:r>
        <w:rPr>
          <w:sz w:val="24"/>
          <w:szCs w:val="24"/>
        </w:rPr>
        <w:t>4 тыс.га используется юридическими лицами на праве постоянного (бессрочного) пользования и 4,3 тыс.га земель предоставлены юридическим лицам в аренду.</w:t>
      </w:r>
    </w:p>
    <w:p w:rsidR="00E85D42" w:rsidRDefault="008113B9">
      <w:pPr>
        <w:ind w:firstLine="709"/>
        <w:jc w:val="both"/>
        <w:rPr>
          <w:sz w:val="24"/>
          <w:szCs w:val="24"/>
        </w:rPr>
      </w:pPr>
      <w:r>
        <w:rPr>
          <w:sz w:val="24"/>
          <w:szCs w:val="24"/>
        </w:rPr>
        <w:t>Наибольшие</w:t>
      </w:r>
    </w:p>
    <w:p w:rsidR="00E85D42" w:rsidRDefault="008113B9">
      <w:pPr>
        <w:ind w:firstLine="709"/>
        <w:jc w:val="both"/>
        <w:rPr>
          <w:sz w:val="24"/>
          <w:szCs w:val="24"/>
        </w:rPr>
      </w:pPr>
      <w:r>
        <w:rPr>
          <w:sz w:val="24"/>
          <w:szCs w:val="24"/>
        </w:rPr>
        <w:t xml:space="preserve"> площади земель, находящихся в собственности Республики Башкортостан, зарегистрированы в город</w:t>
      </w:r>
      <w:r>
        <w:rPr>
          <w:sz w:val="24"/>
          <w:szCs w:val="24"/>
        </w:rPr>
        <w:t>ах: Уфа – 2082 га, Сибай - 1953 га, Салават – 534 га, Агидель – 363 га, Стерлитамак – 212 га.</w:t>
      </w:r>
    </w:p>
    <w:p w:rsidR="00E85D42" w:rsidRDefault="008113B9">
      <w:pPr>
        <w:ind w:firstLine="709"/>
        <w:jc w:val="both"/>
        <w:rPr>
          <w:sz w:val="24"/>
          <w:szCs w:val="24"/>
        </w:rPr>
      </w:pPr>
      <w:r>
        <w:rPr>
          <w:sz w:val="24"/>
          <w:szCs w:val="24"/>
        </w:rPr>
        <w:t>На 1 января 2019 года в городах и поселках городского типа из общей площади 215,2 тыс.га находится в собственности граждан 13,8 тыс.га земель, в собственности юри</w:t>
      </w:r>
      <w:r>
        <w:rPr>
          <w:sz w:val="24"/>
          <w:szCs w:val="24"/>
        </w:rPr>
        <w:t>дических лиц – 2,7 тыс.га.</w:t>
      </w:r>
    </w:p>
    <w:p w:rsidR="00E85D42" w:rsidRDefault="008113B9">
      <w:pPr>
        <w:ind w:firstLine="709"/>
        <w:jc w:val="both"/>
        <w:rPr>
          <w:sz w:val="24"/>
          <w:szCs w:val="24"/>
        </w:rPr>
      </w:pPr>
      <w:r>
        <w:rPr>
          <w:sz w:val="24"/>
          <w:szCs w:val="24"/>
        </w:rPr>
        <w:t>В сельских населенных пунктах из общей площади 455 тыс.га находится в собственности граждан 98,2 тыс.га земель, в собственности юридических лиц – 2,1 тыс.га.</w:t>
      </w:r>
    </w:p>
    <w:p w:rsidR="00E85D42" w:rsidRDefault="008113B9">
      <w:pPr>
        <w:ind w:firstLine="709"/>
        <w:jc w:val="both"/>
        <w:rPr>
          <w:sz w:val="24"/>
          <w:szCs w:val="24"/>
        </w:rPr>
      </w:pPr>
      <w:r>
        <w:rPr>
          <w:sz w:val="24"/>
          <w:szCs w:val="24"/>
        </w:rPr>
        <w:t>Динамика распределения земель по формам собственности на землях населен</w:t>
      </w:r>
      <w:r>
        <w:rPr>
          <w:sz w:val="24"/>
          <w:szCs w:val="24"/>
        </w:rPr>
        <w:t>ных пунктов представлена на рисунке 3.1.4.11.</w:t>
      </w:r>
    </w:p>
    <w:p w:rsidR="00E85D42" w:rsidRDefault="00E85D42">
      <w:pPr>
        <w:jc w:val="center"/>
        <w:rPr>
          <w:sz w:val="24"/>
          <w:szCs w:val="24"/>
        </w:rPr>
      </w:pPr>
    </w:p>
    <w:p w:rsidR="00E85D42" w:rsidRDefault="008113B9">
      <w:pPr>
        <w:jc w:val="center"/>
        <w:rPr>
          <w:sz w:val="24"/>
          <w:szCs w:val="24"/>
        </w:rPr>
      </w:pPr>
      <w:r>
        <w:rPr>
          <w:sz w:val="24"/>
          <w:szCs w:val="24"/>
        </w:rPr>
        <w:t>Динамика распределения площади земель населенных пунктов по формам собственности в 2000, 2005, 2010-2018 годах</w:t>
      </w:r>
    </w:p>
    <w:p w:rsidR="00E85D42" w:rsidRDefault="008113B9">
      <w:pPr>
        <w:jc w:val="right"/>
        <w:rPr>
          <w:sz w:val="24"/>
          <w:szCs w:val="24"/>
        </w:rPr>
      </w:pPr>
      <w:r>
        <w:rPr>
          <w:sz w:val="24"/>
          <w:szCs w:val="24"/>
        </w:rPr>
        <w:t>Рисунок 3.1.4.11</w:t>
      </w:r>
    </w:p>
    <w:p w:rsidR="00E85D42" w:rsidRDefault="008113B9">
      <w:pPr>
        <w:jc w:val="both"/>
      </w:pPr>
      <w:r>
        <w:rPr>
          <w:noProof/>
          <w:sz w:val="24"/>
          <w:szCs w:val="24"/>
        </w:rPr>
        <w:drawing>
          <wp:inline distT="0" distB="0" distL="0" distR="0">
            <wp:extent cx="5940427" cy="3373386"/>
            <wp:effectExtent l="0" t="0" r="3173" b="0"/>
            <wp:docPr id="99" name="Рисунок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rcRect b="18857"/>
                    <a:stretch>
                      <a:fillRect/>
                    </a:stretch>
                  </pic:blipFill>
                  <pic:spPr>
                    <a:xfrm>
                      <a:off x="0" y="0"/>
                      <a:ext cx="5940427" cy="3373386"/>
                    </a:xfrm>
                    <a:prstGeom prst="rect">
                      <a:avLst/>
                    </a:prstGeom>
                    <a:noFill/>
                    <a:ln>
                      <a:noFill/>
                      <a:prstDash/>
                    </a:ln>
                  </pic:spPr>
                </pic:pic>
              </a:graphicData>
            </a:graphic>
          </wp:inline>
        </w:drawing>
      </w:r>
    </w:p>
    <w:p w:rsidR="00E85D42" w:rsidRDefault="00E85D42">
      <w:pPr>
        <w:jc w:val="both"/>
        <w:rPr>
          <w:sz w:val="24"/>
          <w:szCs w:val="24"/>
        </w:rPr>
      </w:pPr>
    </w:p>
    <w:p w:rsidR="00E85D42" w:rsidRDefault="008113B9">
      <w:pPr>
        <w:ind w:firstLine="709"/>
        <w:jc w:val="both"/>
        <w:rPr>
          <w:b/>
          <w:i/>
          <w:sz w:val="24"/>
          <w:szCs w:val="24"/>
        </w:rPr>
      </w:pPr>
      <w:r>
        <w:rPr>
          <w:b/>
          <w:i/>
          <w:sz w:val="24"/>
          <w:szCs w:val="24"/>
        </w:rPr>
        <w:t>Распределение земель иных категорий</w:t>
      </w:r>
    </w:p>
    <w:p w:rsidR="00E85D42" w:rsidRDefault="008113B9">
      <w:pPr>
        <w:ind w:firstLine="709"/>
        <w:jc w:val="both"/>
        <w:rPr>
          <w:sz w:val="24"/>
          <w:szCs w:val="24"/>
        </w:rPr>
      </w:pPr>
      <w:r>
        <w:rPr>
          <w:sz w:val="24"/>
          <w:szCs w:val="24"/>
        </w:rPr>
        <w:t xml:space="preserve">По состоянию на 1 января 2019 года 412,1 </w:t>
      </w:r>
      <w:r>
        <w:rPr>
          <w:sz w:val="24"/>
          <w:szCs w:val="24"/>
        </w:rPr>
        <w:t>тыс.га земель категории особо охраняемых территорий и объектов находится в государственной собственности.</w:t>
      </w:r>
    </w:p>
    <w:p w:rsidR="00E85D42" w:rsidRDefault="008113B9">
      <w:pPr>
        <w:ind w:firstLine="709"/>
        <w:jc w:val="both"/>
        <w:rPr>
          <w:sz w:val="24"/>
          <w:szCs w:val="24"/>
        </w:rPr>
      </w:pPr>
      <w:r>
        <w:rPr>
          <w:sz w:val="24"/>
          <w:szCs w:val="24"/>
        </w:rPr>
        <w:t>На земельные участки площадью 332,5 тыс.га зарегистрировано право собственности Российской Федерации, из них предоставлены в постоянное (бессрочное) п</w:t>
      </w:r>
      <w:r>
        <w:rPr>
          <w:sz w:val="24"/>
          <w:szCs w:val="24"/>
        </w:rPr>
        <w:t>ользование ФГУ «Национальный парк «Башкирия» - 79,8 тыс.га и ФГУ «Южно-Уральский государственный природный заповедник» - 229,6 тыс.га земель.</w:t>
      </w:r>
    </w:p>
    <w:p w:rsidR="00E85D42" w:rsidRDefault="008113B9">
      <w:pPr>
        <w:ind w:firstLine="709"/>
        <w:jc w:val="both"/>
        <w:rPr>
          <w:sz w:val="24"/>
          <w:szCs w:val="24"/>
        </w:rPr>
      </w:pPr>
      <w:r>
        <w:rPr>
          <w:sz w:val="24"/>
          <w:szCs w:val="24"/>
        </w:rPr>
        <w:t>По состоянию на 1 января 2019 года 5722,7 тыс.га земель лесного фонда находится в государственной собственности. П</w:t>
      </w:r>
      <w:r>
        <w:rPr>
          <w:sz w:val="24"/>
          <w:szCs w:val="24"/>
        </w:rPr>
        <w:t>раво собственности Российской Федерации зарегистрировано на 5722,7 тыс.га земель лесного фонда.</w:t>
      </w:r>
    </w:p>
    <w:p w:rsidR="00E85D42" w:rsidRDefault="008113B9">
      <w:pPr>
        <w:ind w:firstLine="709"/>
        <w:jc w:val="both"/>
        <w:rPr>
          <w:sz w:val="24"/>
          <w:szCs w:val="24"/>
        </w:rPr>
      </w:pPr>
      <w:r>
        <w:rPr>
          <w:sz w:val="24"/>
          <w:szCs w:val="24"/>
        </w:rPr>
        <w:t>По состоянию на 1 января 2019 года 77,9 тыс.га земель водного фонда и 21,4 тыс.га земель запаса находятся в государственной собственности.</w:t>
      </w:r>
    </w:p>
    <w:p w:rsidR="00E85D42" w:rsidRDefault="00E85D42">
      <w:pPr>
        <w:jc w:val="both"/>
        <w:rPr>
          <w:sz w:val="24"/>
          <w:szCs w:val="24"/>
        </w:rPr>
      </w:pPr>
    </w:p>
    <w:p w:rsidR="00E85D42" w:rsidRDefault="008113B9">
      <w:pPr>
        <w:ind w:firstLine="709"/>
        <w:jc w:val="center"/>
        <w:rPr>
          <w:b/>
          <w:i/>
          <w:sz w:val="24"/>
          <w:szCs w:val="24"/>
        </w:rPr>
      </w:pPr>
      <w:r>
        <w:rPr>
          <w:b/>
          <w:i/>
          <w:sz w:val="24"/>
          <w:szCs w:val="24"/>
        </w:rPr>
        <w:t>3.1.4.1 Обзор состоя</w:t>
      </w:r>
      <w:r>
        <w:rPr>
          <w:b/>
          <w:i/>
          <w:sz w:val="24"/>
          <w:szCs w:val="24"/>
        </w:rPr>
        <w:t>ния рынка объектов недвижимости</w:t>
      </w:r>
    </w:p>
    <w:p w:rsidR="00E85D42" w:rsidRDefault="008113B9">
      <w:pPr>
        <w:ind w:firstLine="709"/>
        <w:jc w:val="both"/>
        <w:rPr>
          <w:sz w:val="24"/>
          <w:szCs w:val="24"/>
        </w:rPr>
      </w:pPr>
      <w:r>
        <w:rPr>
          <w:sz w:val="24"/>
          <w:szCs w:val="24"/>
        </w:rPr>
        <w:t>Рынок недвижимости — это рынок товаров, обладающих индивидуальными характеристиками. Недвижимость может обладать различными физическими потребительскими свойствами: материалом изготовления, степенью новизны, архитектурным ст</w:t>
      </w:r>
      <w:r>
        <w:rPr>
          <w:sz w:val="24"/>
          <w:szCs w:val="24"/>
        </w:rPr>
        <w:t xml:space="preserve">илем, внутренней планировкой, отделкой, сроком службы и т. д. Даже при совпадении внешних и эксплуатационных свойств недвижимость может различаться местоположением к подъездным путям, предприятиям инфраструктуры, экологической особенностью региона и т. д. </w:t>
      </w:r>
    </w:p>
    <w:p w:rsidR="00E85D42" w:rsidRDefault="008113B9">
      <w:pPr>
        <w:ind w:firstLine="709"/>
        <w:jc w:val="both"/>
        <w:rPr>
          <w:sz w:val="24"/>
          <w:szCs w:val="24"/>
        </w:rPr>
      </w:pPr>
      <w:r>
        <w:rPr>
          <w:sz w:val="24"/>
          <w:szCs w:val="24"/>
        </w:rPr>
        <w:t>Рынок недвижимости — это рынок ограниченных ресурсов, продавцов и покупателей. Ограничено количество продавцов недвижимости, находящейся в экологически чистых и центральных районах, объектов с высокими потребительскими свойствами, новых объектов, объектов</w:t>
      </w:r>
      <w:r>
        <w:rPr>
          <w:sz w:val="24"/>
          <w:szCs w:val="24"/>
        </w:rPr>
        <w:t xml:space="preserve"> с выразительным художественным стилем. Ограничено и число покупателей такой недвижимости, так как последняя, в силу перечисленных потребительских свойств, имеет высокую цену. Ограниченность продавцов и покупателей приводит к формированию практически индив</w:t>
      </w:r>
      <w:r>
        <w:rPr>
          <w:sz w:val="24"/>
          <w:szCs w:val="24"/>
        </w:rPr>
        <w:t>идуальных цен.</w:t>
      </w:r>
    </w:p>
    <w:p w:rsidR="00E85D42" w:rsidRDefault="008113B9">
      <w:pPr>
        <w:ind w:firstLine="709"/>
        <w:jc w:val="both"/>
        <w:rPr>
          <w:sz w:val="24"/>
          <w:szCs w:val="24"/>
        </w:rPr>
      </w:pPr>
      <w:r>
        <w:rPr>
          <w:sz w:val="24"/>
          <w:szCs w:val="24"/>
        </w:rPr>
        <w:t>Период времени для реализации товара на рынке недвижимости высокий. Время между выставлением объекта недвижимости на рынок и его продажей называется экспозицией товара на рынке. Время экспозиции зависит и от потребительских свойств, и от цен</w:t>
      </w:r>
      <w:r>
        <w:rPr>
          <w:sz w:val="24"/>
          <w:szCs w:val="24"/>
        </w:rPr>
        <w:t>ы, если она завышена при продаже.</w:t>
      </w:r>
    </w:p>
    <w:p w:rsidR="00E85D42" w:rsidRDefault="008113B9">
      <w:pPr>
        <w:ind w:firstLine="709"/>
        <w:jc w:val="both"/>
        <w:rPr>
          <w:sz w:val="24"/>
          <w:szCs w:val="24"/>
        </w:rPr>
      </w:pPr>
      <w:r>
        <w:rPr>
          <w:sz w:val="24"/>
          <w:szCs w:val="24"/>
        </w:rPr>
        <w:t>Индивидуальные, а иногда уникальные свойства объектов недвижимости в условиях ее стационарности (нельзя перенести ближе к покупателю) приводят к высоким издержкам как времени, так и денег на поиск нужного объекта недвижимо</w:t>
      </w:r>
      <w:r>
        <w:rPr>
          <w:sz w:val="24"/>
          <w:szCs w:val="24"/>
        </w:rPr>
        <w:t>сти для покупателя, более длительным периодам времени реализации для продавцов и более длительной реализацией по сравнению с другими товарами на рынке.</w:t>
      </w:r>
    </w:p>
    <w:p w:rsidR="00E85D42" w:rsidRDefault="008113B9">
      <w:pPr>
        <w:ind w:firstLine="709"/>
        <w:jc w:val="both"/>
        <w:rPr>
          <w:sz w:val="24"/>
          <w:szCs w:val="24"/>
        </w:rPr>
      </w:pPr>
      <w:r>
        <w:rPr>
          <w:sz w:val="24"/>
          <w:szCs w:val="24"/>
        </w:rPr>
        <w:t>Разное время пребывания товара на рынке формирует его экономическое свойство известное как ликвидность т</w:t>
      </w:r>
      <w:r>
        <w:rPr>
          <w:sz w:val="24"/>
          <w:szCs w:val="24"/>
        </w:rPr>
        <w:t>овара. Быстрый переход товара из натуральной формы в денежную означает высокую ликвидность. Длительный период времени для перехода товара в денежную форму для его продавца означает низкую ликвидность. Ликвидность недвижимости ниже ликвидности других товаро</w:t>
      </w:r>
      <w:r>
        <w:rPr>
          <w:sz w:val="24"/>
          <w:szCs w:val="24"/>
        </w:rPr>
        <w:t>в.</w:t>
      </w:r>
    </w:p>
    <w:p w:rsidR="00E85D42" w:rsidRDefault="008113B9">
      <w:pPr>
        <w:ind w:firstLine="709"/>
        <w:jc w:val="both"/>
        <w:rPr>
          <w:sz w:val="24"/>
          <w:szCs w:val="24"/>
        </w:rPr>
      </w:pPr>
      <w:r>
        <w:rPr>
          <w:sz w:val="24"/>
          <w:szCs w:val="24"/>
        </w:rPr>
        <w:t>Низкая ликвидность товаров на рынке недвижимости порождает высокий уровень издержек у покупателя и продавца. Эти издержки определяются сложными условиями осуществления сделок по недвижимости.</w:t>
      </w:r>
    </w:p>
    <w:p w:rsidR="00E85D42" w:rsidRDefault="008113B9">
      <w:pPr>
        <w:ind w:firstLine="709"/>
        <w:jc w:val="both"/>
        <w:rPr>
          <w:sz w:val="24"/>
          <w:szCs w:val="24"/>
        </w:rPr>
      </w:pPr>
      <w:r>
        <w:rPr>
          <w:sz w:val="24"/>
          <w:szCs w:val="24"/>
        </w:rPr>
        <w:t xml:space="preserve">Информационная доступность на рынке недвижимости не является </w:t>
      </w:r>
      <w:r>
        <w:rPr>
          <w:sz w:val="24"/>
          <w:szCs w:val="24"/>
        </w:rPr>
        <w:t>такой открытой и достаточной, как на потребительском рынке товаров и услуг. Здесь трудно получить сведения о ценах фактически состоявшихся сделок, их содержании. Высокий уровень государственных пошлин, налогообложения сделок с недвижимостью ведет к сокрыти</w:t>
      </w:r>
      <w:r>
        <w:rPr>
          <w:sz w:val="24"/>
          <w:szCs w:val="24"/>
        </w:rPr>
        <w:t xml:space="preserve">ю реальной цены сделки. Часто сделки оформляются как обмен, дарение и др. Большая часть сделок купли-продажи нежилой недвижимости проводится через продажу акций, смену учредителей и т.д., что затрудняет понимание реальной стоимости недвижимости и активное </w:t>
      </w:r>
      <w:r>
        <w:rPr>
          <w:sz w:val="24"/>
          <w:szCs w:val="24"/>
        </w:rPr>
        <w:t>развитие рынка.</w:t>
      </w:r>
    </w:p>
    <w:p w:rsidR="00E85D42" w:rsidRDefault="008113B9">
      <w:pPr>
        <w:ind w:firstLine="709"/>
        <w:jc w:val="both"/>
        <w:rPr>
          <w:sz w:val="24"/>
          <w:szCs w:val="24"/>
        </w:rPr>
      </w:pPr>
      <w:r>
        <w:rPr>
          <w:sz w:val="24"/>
          <w:szCs w:val="24"/>
        </w:rPr>
        <w:t xml:space="preserve">На рынке недвижимости Башкортостана преимущественно представлены две группы объектов: </w:t>
      </w:r>
    </w:p>
    <w:p w:rsidR="00E85D42" w:rsidRDefault="008113B9">
      <w:pPr>
        <w:ind w:firstLine="709"/>
        <w:jc w:val="both"/>
      </w:pPr>
      <w:r>
        <w:rPr>
          <w:sz w:val="24"/>
          <w:szCs w:val="24"/>
        </w:rPr>
        <w:t>1.Объекты, находящиеся в государственной (муниципальной) собственности, и предлагаемые в аренду или собственность. Такие объекты, как правило, реализуютс</w:t>
      </w:r>
      <w:r>
        <w:rPr>
          <w:sz w:val="24"/>
          <w:szCs w:val="24"/>
        </w:rPr>
        <w:t xml:space="preserve">я с аукционов (торгов) с одним - максимум двумя участниками и одним-двумя шагами аукциона, то есть практически без конкуренции. Анализ результатов торгов муниципальным имуществом на территории г. Уфы за </w:t>
      </w:r>
      <w:r>
        <w:rPr>
          <w:sz w:val="24"/>
          <w:szCs w:val="24"/>
          <w:lang w:val="en-US"/>
        </w:rPr>
        <w:t>I</w:t>
      </w:r>
      <w:r>
        <w:rPr>
          <w:sz w:val="24"/>
          <w:szCs w:val="24"/>
        </w:rPr>
        <w:t xml:space="preserve"> полугодие 2018 года показал, что уровень цен по сос</w:t>
      </w:r>
      <w:r>
        <w:rPr>
          <w:sz w:val="24"/>
          <w:szCs w:val="24"/>
        </w:rPr>
        <w:t>тоявшимся торгам зачастую является низким. Несмотря на то, что с формальной точки зрения все эти цены являются рыночными: открытое объявление, открытые торги, - фактические результаты торгов свидетельствуют о том, что это совершенно отдельный сегмент, лишь</w:t>
      </w:r>
      <w:r>
        <w:rPr>
          <w:sz w:val="24"/>
          <w:szCs w:val="24"/>
        </w:rPr>
        <w:t xml:space="preserve"> отчасти связанный с рынком. </w:t>
      </w:r>
    </w:p>
    <w:p w:rsidR="00E85D42" w:rsidRDefault="008113B9">
      <w:pPr>
        <w:ind w:firstLine="709"/>
        <w:jc w:val="both"/>
        <w:rPr>
          <w:sz w:val="24"/>
          <w:szCs w:val="24"/>
        </w:rPr>
      </w:pPr>
      <w:r>
        <w:rPr>
          <w:sz w:val="24"/>
          <w:szCs w:val="24"/>
        </w:rPr>
        <w:t>2. Объекты недвижимости, находящиеся в частной собственности.</w:t>
      </w:r>
    </w:p>
    <w:p w:rsidR="00E85D42" w:rsidRDefault="00E85D42">
      <w:pPr>
        <w:ind w:firstLine="709"/>
        <w:jc w:val="both"/>
        <w:rPr>
          <w:sz w:val="24"/>
          <w:szCs w:val="24"/>
        </w:rPr>
      </w:pPr>
    </w:p>
    <w:p w:rsidR="00E85D42" w:rsidRDefault="008113B9">
      <w:pPr>
        <w:ind w:firstLine="709"/>
        <w:jc w:val="both"/>
      </w:pPr>
      <w:r>
        <w:rPr>
          <w:b/>
          <w:i/>
          <w:sz w:val="24"/>
          <w:szCs w:val="24"/>
        </w:rPr>
        <w:t>Степень открытости и емкости рынка</w:t>
      </w:r>
    </w:p>
    <w:p w:rsidR="00E85D42" w:rsidRDefault="008113B9">
      <w:pPr>
        <w:ind w:firstLine="709"/>
        <w:jc w:val="both"/>
        <w:rPr>
          <w:sz w:val="24"/>
          <w:szCs w:val="24"/>
        </w:rPr>
      </w:pPr>
      <w:r>
        <w:rPr>
          <w:sz w:val="24"/>
          <w:szCs w:val="24"/>
        </w:rPr>
        <w:t>Открытость рынка - тип ситуации на рынке, на котором присутствует большое число участников.</w:t>
      </w:r>
    </w:p>
    <w:p w:rsidR="00E85D42" w:rsidRDefault="008113B9">
      <w:pPr>
        <w:ind w:firstLine="709"/>
        <w:jc w:val="both"/>
        <w:rPr>
          <w:sz w:val="24"/>
          <w:szCs w:val="24"/>
        </w:rPr>
      </w:pPr>
      <w:r>
        <w:rPr>
          <w:sz w:val="24"/>
          <w:szCs w:val="24"/>
        </w:rPr>
        <w:t xml:space="preserve">Емкость рынка — это объем тех </w:t>
      </w:r>
      <w:r>
        <w:rPr>
          <w:sz w:val="24"/>
          <w:szCs w:val="24"/>
        </w:rPr>
        <w:t xml:space="preserve">товаров или услуг, которые предлагаются и приобретаются в пределах рынка (рыночного сегмента). </w:t>
      </w:r>
    </w:p>
    <w:p w:rsidR="00E85D42" w:rsidRDefault="008113B9">
      <w:pPr>
        <w:ind w:firstLine="709"/>
        <w:jc w:val="both"/>
        <w:rPr>
          <w:sz w:val="24"/>
          <w:szCs w:val="24"/>
        </w:rPr>
      </w:pPr>
      <w:r>
        <w:rPr>
          <w:sz w:val="24"/>
          <w:szCs w:val="24"/>
        </w:rPr>
        <w:t>Степень открытости и емкости рынка недвижимости в целом по Республике Башкортостан не могут считаться в настоящее время высокими из-за низкого уровня развития с</w:t>
      </w:r>
      <w:r>
        <w:rPr>
          <w:sz w:val="24"/>
          <w:szCs w:val="24"/>
        </w:rPr>
        <w:t xml:space="preserve">амого рынка. Наибольшая емкость наблюдается в развитых сегментах рынка недвижимости: на рынке жилья (квартиры, комнаты), а также на рынке загородной недвижимости (индивидуальные жилые дома, расположенные на земельных участках с соответствующим разрешенным </w:t>
      </w:r>
      <w:r>
        <w:rPr>
          <w:sz w:val="24"/>
          <w:szCs w:val="24"/>
        </w:rPr>
        <w:t>использованием).</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8113B9">
      <w:pPr>
        <w:ind w:firstLine="709"/>
        <w:jc w:val="both"/>
        <w:rPr>
          <w:b/>
          <w:i/>
          <w:sz w:val="24"/>
          <w:szCs w:val="24"/>
        </w:rPr>
      </w:pPr>
      <w:r>
        <w:rPr>
          <w:b/>
          <w:i/>
          <w:sz w:val="24"/>
          <w:szCs w:val="24"/>
        </w:rPr>
        <w:t>Характеристика участников рынка</w:t>
      </w:r>
    </w:p>
    <w:p w:rsidR="00E85D42" w:rsidRDefault="008113B9">
      <w:pPr>
        <w:ind w:firstLine="709"/>
        <w:jc w:val="both"/>
        <w:rPr>
          <w:sz w:val="24"/>
          <w:szCs w:val="24"/>
        </w:rPr>
      </w:pPr>
      <w:r>
        <w:rPr>
          <w:sz w:val="24"/>
          <w:szCs w:val="24"/>
        </w:rPr>
        <w:t>Участники рынка недвижимости— это группа лиц или компаний, которые вступают в отношения друг с другом с целью осуществления операций с недвижимостью: собственники объектов недвижимости и их представители,</w:t>
      </w:r>
      <w:r>
        <w:rPr>
          <w:sz w:val="24"/>
          <w:szCs w:val="24"/>
        </w:rPr>
        <w:t xml:space="preserve"> покупатели; арендаторы; риелторы; организации – застройщики, кредитные учреждения; девелоперы; застройщики.</w:t>
      </w:r>
    </w:p>
    <w:p w:rsidR="00E85D42" w:rsidRDefault="008113B9">
      <w:pPr>
        <w:ind w:firstLine="709"/>
        <w:jc w:val="both"/>
        <w:rPr>
          <w:sz w:val="24"/>
          <w:szCs w:val="24"/>
        </w:rPr>
      </w:pPr>
      <w:r>
        <w:rPr>
          <w:sz w:val="24"/>
          <w:szCs w:val="24"/>
        </w:rPr>
        <w:t>Всех участников рынка недвижимости можно объединить в три группы:</w:t>
      </w:r>
    </w:p>
    <w:p w:rsidR="00E85D42" w:rsidRDefault="008113B9">
      <w:pPr>
        <w:ind w:firstLine="709"/>
        <w:jc w:val="both"/>
        <w:rPr>
          <w:sz w:val="24"/>
          <w:szCs w:val="24"/>
        </w:rPr>
      </w:pPr>
      <w:r>
        <w:rPr>
          <w:sz w:val="24"/>
          <w:szCs w:val="24"/>
        </w:rPr>
        <w:t>- продавцы - собственники объектов недвижимости (юридические и физические лица);</w:t>
      </w:r>
    </w:p>
    <w:p w:rsidR="00E85D42" w:rsidRDefault="008113B9">
      <w:pPr>
        <w:ind w:firstLine="709"/>
        <w:jc w:val="both"/>
        <w:rPr>
          <w:sz w:val="24"/>
          <w:szCs w:val="24"/>
        </w:rPr>
      </w:pPr>
      <w:r>
        <w:rPr>
          <w:sz w:val="24"/>
          <w:szCs w:val="24"/>
        </w:rPr>
        <w:t>- покупатели-инвесторы, они вкладывают заемные, собственные средства в форме капитала и обеспечивают целевое распределение капитала;</w:t>
      </w:r>
    </w:p>
    <w:p w:rsidR="00E85D42" w:rsidRDefault="008113B9">
      <w:pPr>
        <w:ind w:firstLine="709"/>
        <w:jc w:val="both"/>
        <w:rPr>
          <w:sz w:val="24"/>
          <w:szCs w:val="24"/>
        </w:rPr>
      </w:pPr>
      <w:r>
        <w:rPr>
          <w:sz w:val="24"/>
          <w:szCs w:val="24"/>
        </w:rPr>
        <w:t xml:space="preserve">- профессиональные участники — это инфраструктурные предприятия, с помощью которых обеспечивается функционирование рынка в </w:t>
      </w:r>
      <w:r>
        <w:rPr>
          <w:sz w:val="24"/>
          <w:szCs w:val="24"/>
        </w:rPr>
        <w:t>соответствии с установленными нормами (профессиональные посредники, которые реализуют объекты недвижимости: брокеры, юридические фирмы, маклеры, риелторы, дилеры, страховые компании, уполномоченные лица).</w:t>
      </w:r>
    </w:p>
    <w:p w:rsidR="00E85D42" w:rsidRDefault="008113B9">
      <w:pPr>
        <w:ind w:firstLine="709"/>
        <w:jc w:val="both"/>
        <w:rPr>
          <w:sz w:val="24"/>
          <w:szCs w:val="24"/>
        </w:rPr>
      </w:pPr>
      <w:r>
        <w:rPr>
          <w:sz w:val="24"/>
          <w:szCs w:val="24"/>
        </w:rPr>
        <w:t>На рынке недвижимости выделяются две его составляющ</w:t>
      </w:r>
      <w:r>
        <w:rPr>
          <w:sz w:val="24"/>
          <w:szCs w:val="24"/>
        </w:rPr>
        <w:t>ие: первичный и вторичный рынок недвижимости, взаимосвязанные между собой.</w:t>
      </w:r>
    </w:p>
    <w:p w:rsidR="00E85D42" w:rsidRDefault="008113B9">
      <w:pPr>
        <w:ind w:firstLine="709"/>
        <w:jc w:val="both"/>
        <w:rPr>
          <w:sz w:val="24"/>
          <w:szCs w:val="24"/>
        </w:rPr>
      </w:pPr>
      <w:r>
        <w:rPr>
          <w:sz w:val="24"/>
          <w:szCs w:val="24"/>
        </w:rPr>
        <w:t>Первичный рынок — это рынок, на котором осуществляются сделки по передаче в частную собственность нового (вновь построенного или реконструированного) жилья на возмездной основе, пра</w:t>
      </w:r>
      <w:r>
        <w:rPr>
          <w:sz w:val="24"/>
          <w:szCs w:val="24"/>
        </w:rPr>
        <w:t xml:space="preserve">вами на реализацию которого обладают: органы государственной власти Российской Федерации и субъектов Российской Федерации, органы местного самоуправления; фирмы-застройщики, осуществляющие строительство (реконструкцию) объектов недвижимости; юридические и </w:t>
      </w:r>
      <w:r>
        <w:rPr>
          <w:sz w:val="24"/>
          <w:szCs w:val="24"/>
        </w:rPr>
        <w:t>физические лица, уполномоченные осуществлять реализацию жилья в установленном законодательством порядке. Основными продавцами недвижимости в таком случае выступают государство в лице своих федеральных, региональных и местных органов власти, строительные ко</w:t>
      </w:r>
      <w:r>
        <w:rPr>
          <w:sz w:val="24"/>
          <w:szCs w:val="24"/>
        </w:rPr>
        <w:t>мпании — поставщики жилой и нежилой недвижимости.</w:t>
      </w:r>
    </w:p>
    <w:p w:rsidR="00E85D42" w:rsidRDefault="008113B9">
      <w:pPr>
        <w:ind w:firstLine="709"/>
        <w:jc w:val="both"/>
        <w:rPr>
          <w:sz w:val="24"/>
          <w:szCs w:val="24"/>
        </w:rPr>
      </w:pPr>
      <w:r>
        <w:rPr>
          <w:sz w:val="24"/>
          <w:szCs w:val="24"/>
        </w:rPr>
        <w:t>На вторичном рынке недвижимость выступает как уже созданный объект, который находится в эксплуатации и принадлежит определенному собственнику — физическому или юридическому лицу.</w:t>
      </w:r>
    </w:p>
    <w:p w:rsidR="00E85D42" w:rsidRDefault="008113B9">
      <w:pPr>
        <w:ind w:firstLine="709"/>
        <w:jc w:val="both"/>
        <w:rPr>
          <w:sz w:val="24"/>
          <w:szCs w:val="24"/>
        </w:rPr>
      </w:pPr>
      <w:r>
        <w:rPr>
          <w:sz w:val="24"/>
          <w:szCs w:val="24"/>
        </w:rPr>
        <w:t>Агентства недвижимости (риэ</w:t>
      </w:r>
      <w:r>
        <w:rPr>
          <w:sz w:val="24"/>
          <w:szCs w:val="24"/>
        </w:rPr>
        <w:t>лтерские агентства) представляют собой коммерческие организации, осуществляющие, как правило, посреднические услуги между продавцом и конечным покупателем на рынке недвижимости. На территории республики действуют риэлтерские компании: Федеральная Сеть Аген</w:t>
      </w:r>
      <w:r>
        <w:rPr>
          <w:sz w:val="24"/>
          <w:szCs w:val="24"/>
        </w:rPr>
        <w:t>тств Недвижимости ЭКСПЕРТ; «Рио-Люкс Уфа», «Жилищная инициатива», «НДВ - Иглино», «Агентство недвижимости Realt-Помощник», «Служба согласования перепланировок», «Золотой ключ», «Доверие», «ГрандИнвест», «Простор», «Крепость», «Выбор», «Диалог», «Новый Дом»</w:t>
      </w:r>
      <w:r>
        <w:rPr>
          <w:sz w:val="24"/>
          <w:szCs w:val="24"/>
        </w:rPr>
        <w:t xml:space="preserve"> и др.</w:t>
      </w:r>
    </w:p>
    <w:p w:rsidR="00E85D42" w:rsidRDefault="008113B9">
      <w:pPr>
        <w:ind w:firstLine="709"/>
        <w:jc w:val="both"/>
        <w:rPr>
          <w:sz w:val="24"/>
          <w:szCs w:val="24"/>
        </w:rPr>
      </w:pPr>
      <w:r>
        <w:rPr>
          <w:sz w:val="24"/>
          <w:szCs w:val="24"/>
        </w:rPr>
        <w:t>В соответствии с Градостроительным кодексом Российской Федерации, застройщик - физическое или юридическое лицо, обеспечивающее на принадлежащем ему земельном участке или на земельном участке иного правообладателя строительство, реконструкцию, капита</w:t>
      </w:r>
      <w:r>
        <w:rPr>
          <w:sz w:val="24"/>
          <w:szCs w:val="24"/>
        </w:rPr>
        <w:t xml:space="preserve">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E85D42" w:rsidRDefault="008113B9">
      <w:pPr>
        <w:ind w:firstLine="709"/>
        <w:jc w:val="both"/>
      </w:pPr>
      <w:r>
        <w:rPr>
          <w:sz w:val="24"/>
          <w:szCs w:val="24"/>
        </w:rPr>
        <w:t>Согласно данным Единого реестра застройщиков</w:t>
      </w:r>
      <w:r>
        <w:rPr>
          <w:sz w:val="24"/>
          <w:szCs w:val="24"/>
          <w:vertAlign w:val="superscript"/>
        </w:rPr>
        <w:footnoteReference w:id="11"/>
      </w:r>
      <w:r>
        <w:rPr>
          <w:sz w:val="24"/>
          <w:szCs w:val="24"/>
        </w:rPr>
        <w:t>, в 2018 году на территории Республики Башкортостан строительство и ввод в эксплуатацию жилья осуществляли 57</w:t>
      </w:r>
      <w:r>
        <w:rPr>
          <w:sz w:val="24"/>
          <w:szCs w:val="24"/>
        </w:rPr>
        <w:t xml:space="preserve"> организаций – застройщиков, что на 11 организаций больше, чем в 2017 году (таблица 3.1.4.1.1)</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8113B9">
      <w:pPr>
        <w:jc w:val="right"/>
        <w:rPr>
          <w:sz w:val="24"/>
          <w:szCs w:val="24"/>
        </w:rPr>
      </w:pPr>
      <w:r>
        <w:rPr>
          <w:sz w:val="24"/>
          <w:szCs w:val="24"/>
        </w:rPr>
        <w:t>Таблица 3.1.4.1.1</w:t>
      </w:r>
    </w:p>
    <w:p w:rsidR="00E85D42" w:rsidRDefault="008113B9">
      <w:pPr>
        <w:jc w:val="center"/>
        <w:rPr>
          <w:sz w:val="24"/>
          <w:szCs w:val="24"/>
        </w:rPr>
      </w:pPr>
      <w:r>
        <w:rPr>
          <w:sz w:val="24"/>
          <w:szCs w:val="24"/>
        </w:rPr>
        <w:t>Рейтинг организаций – застройщиков по объему ввода жилья на территории Республики Башкортостан по состоянию на 01.01.2019</w:t>
      </w:r>
    </w:p>
    <w:p w:rsidR="00E85D42" w:rsidRDefault="00E85D42">
      <w:pPr>
        <w:jc w:val="center"/>
        <w:rPr>
          <w:sz w:val="24"/>
          <w:szCs w:val="24"/>
        </w:rPr>
      </w:pPr>
    </w:p>
    <w:tbl>
      <w:tblPr>
        <w:tblW w:w="9344" w:type="dxa"/>
        <w:tblCellMar>
          <w:left w:w="10" w:type="dxa"/>
          <w:right w:w="10" w:type="dxa"/>
        </w:tblCellMar>
        <w:tblLook w:val="04A0" w:firstRow="1" w:lastRow="0" w:firstColumn="1" w:lastColumn="0" w:noHBand="0" w:noVBand="1"/>
      </w:tblPr>
      <w:tblGrid>
        <w:gridCol w:w="689"/>
        <w:gridCol w:w="5739"/>
        <w:gridCol w:w="1345"/>
        <w:gridCol w:w="1571"/>
      </w:tblGrid>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b/>
                <w:bCs/>
                <w:sz w:val="24"/>
                <w:szCs w:val="24"/>
              </w:rPr>
            </w:pPr>
            <w:r>
              <w:rPr>
                <w:b/>
                <w:bCs/>
                <w:sz w:val="24"/>
                <w:szCs w:val="24"/>
              </w:rPr>
              <w:t>№ п/п</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b/>
                <w:bCs/>
                <w:sz w:val="24"/>
                <w:szCs w:val="24"/>
              </w:rPr>
            </w:pPr>
            <w:r>
              <w:rPr>
                <w:b/>
                <w:bCs/>
                <w:sz w:val="24"/>
                <w:szCs w:val="24"/>
              </w:rPr>
              <w:t xml:space="preserve">Наименование застройщика, регион </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sz w:val="24"/>
                <w:szCs w:val="24"/>
              </w:rPr>
            </w:pPr>
            <w:r>
              <w:rPr>
                <w:b/>
                <w:bCs/>
                <w:sz w:val="24"/>
                <w:szCs w:val="24"/>
              </w:rPr>
              <w:t>Введено, м²</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sz w:val="24"/>
                <w:szCs w:val="24"/>
              </w:rPr>
            </w:pPr>
            <w:r>
              <w:rPr>
                <w:b/>
                <w:bCs/>
                <w:sz w:val="24"/>
                <w:szCs w:val="24"/>
              </w:rPr>
              <w:t>Доля в регионе</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ФРЖС РБ,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108 052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14,71</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Третий Трест,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59 054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8,04</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Талан, Удмуртская Республика</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51 120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6,96</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ПСК-6,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50 581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6,89</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ФЖС РБ,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44 717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6,09</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6</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Жилой Квартал,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32 597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4,44</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7</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КПД,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29 395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4</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8</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СтройИндустрия,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22 150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3,02</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9</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Риком,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19 227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2,62</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10</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ИСК г. Уфы,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18 320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2,49</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11</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СТЭК,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17 421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2,37</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12</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Жилстройинвест,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15 015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2,04</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13</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ЦентрИнвест,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13 790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1,88</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14</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ИРСЗ,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13 612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1,85</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15</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МУП СЗ и ТН г. Уфа,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12 742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1,73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16</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ЖильеПлюс,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12 511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1,70</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17</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Нефтекамская Недвижимость,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12 183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1,66</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18</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ИСК Агидель-ИнвестСтрой,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12 092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1,65</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19</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 xml:space="preserve">НКЗ, </w:t>
            </w:r>
            <w:r>
              <w:rPr>
                <w:sz w:val="24"/>
                <w:szCs w:val="24"/>
              </w:rPr>
              <w:t>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11 979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1,63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БНПС-ИНВЕСТ,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10 888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1,48</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21</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Госстрой,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10 843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1,48</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22</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СТРОЙИНВЕСТ,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10 277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1,40</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23</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Грааль,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9 253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1,26</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24</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 xml:space="preserve">Зубово, </w:t>
            </w:r>
            <w:r>
              <w:rPr>
                <w:sz w:val="24"/>
                <w:szCs w:val="24"/>
              </w:rPr>
              <w:t>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8 024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1,09</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25</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КСИ,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7 830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1,07</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26</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СК СтройТрест №1,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7 420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1,01</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27</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СК Ролстрой,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7 302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0,99</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28</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РАССВЕТ, г.Москва</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6 797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0,93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29</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ИСК,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6 699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0,91</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30</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Строй-Дом,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6 078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0,83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31</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БСК Реал-Эстейт,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6 075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0,83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32</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СК КБС,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5 975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0,81</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33</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СУ №4,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5 819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0,79</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34</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СУ-10,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 xml:space="preserve">5 </w:t>
            </w:r>
            <w:r>
              <w:rPr>
                <w:sz w:val="24"/>
                <w:szCs w:val="24"/>
              </w:rPr>
              <w:t>690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0,77</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35</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Стройинвест,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5 392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0,73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36</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СП Инициатива ОАО КПД,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5 181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0,71</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37</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Стройзаказчик,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5 147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0,70</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38</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Вива-Квадр,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5 114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0,70</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39</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 xml:space="preserve">СтройВертикаль, </w:t>
            </w:r>
            <w:r>
              <w:rPr>
                <w:sz w:val="24"/>
                <w:szCs w:val="24"/>
              </w:rPr>
              <w:t>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4 838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0,66</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40</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Компания СтройИнвест, Республика Марий Эл</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3 914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0,53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41</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ДК Кедр,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3 871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0,53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42</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СтройФонд,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3 813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0,52</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43</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Сальвия,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3 671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0,50</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44</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 xml:space="preserve">Евростиль, </w:t>
            </w:r>
            <w:r>
              <w:rPr>
                <w:sz w:val="24"/>
                <w:szCs w:val="24"/>
              </w:rPr>
              <w:t>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2 483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0,34</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45</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Группа Компаний Подрядчик,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2 396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0,33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46</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СК ХимСтрой,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2 343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0,32</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47</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СК Стройсервис,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1 713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0,23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48</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ГК Прогресс,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1 534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0,21</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49</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Абсолют Капитал,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1 372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0,19</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50</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НПО Энергохолдинг,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1 300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0,18</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51</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ГСК МСИ и ТИ,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1 175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0,16</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52</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СНХМ,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1 089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0,15</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53</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 xml:space="preserve">Центр Малоэтажного Строительства, </w:t>
            </w:r>
            <w:r>
              <w:rPr>
                <w:sz w:val="24"/>
                <w:szCs w:val="24"/>
              </w:rPr>
              <w:t>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1 070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0,15</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54</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Теплый дом,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1 010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0,14</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55</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МУП УКС,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941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0,13</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56</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Основа, Челябинская область</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842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0,11</w:t>
            </w:r>
          </w:p>
        </w:tc>
      </w:tr>
      <w:tr w:rsidR="00E85D42">
        <w:tblPrEx>
          <w:tblCellMar>
            <w:top w:w="0" w:type="dxa"/>
            <w:bottom w:w="0" w:type="dxa"/>
          </w:tblCellMar>
        </w:tblPrEx>
        <w:trPr>
          <w:trHeight w:val="255"/>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57</w:t>
            </w:r>
          </w:p>
        </w:tc>
        <w:tc>
          <w:tcPr>
            <w:tcW w:w="57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ОКС МР Дюртюлинский район РБ, Республика Башкортостан</w:t>
            </w:r>
          </w:p>
        </w:tc>
        <w:tc>
          <w:tcPr>
            <w:tcW w:w="1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209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sz w:val="24"/>
                <w:szCs w:val="24"/>
              </w:rPr>
            </w:pPr>
            <w:r>
              <w:rPr>
                <w:sz w:val="24"/>
                <w:szCs w:val="24"/>
              </w:rPr>
              <w:t>0,03</w:t>
            </w:r>
          </w:p>
        </w:tc>
      </w:tr>
    </w:tbl>
    <w:p w:rsidR="00E85D42" w:rsidRDefault="00E85D42">
      <w:pPr>
        <w:jc w:val="both"/>
        <w:rPr>
          <w:sz w:val="24"/>
          <w:szCs w:val="24"/>
        </w:rPr>
      </w:pPr>
    </w:p>
    <w:p w:rsidR="00E85D42" w:rsidRDefault="008113B9">
      <w:pPr>
        <w:ind w:firstLine="709"/>
        <w:jc w:val="both"/>
        <w:rPr>
          <w:sz w:val="24"/>
          <w:szCs w:val="24"/>
        </w:rPr>
      </w:pPr>
      <w:r>
        <w:rPr>
          <w:sz w:val="24"/>
          <w:szCs w:val="24"/>
        </w:rPr>
        <w:t xml:space="preserve">Кредитные </w:t>
      </w:r>
      <w:r>
        <w:rPr>
          <w:sz w:val="24"/>
          <w:szCs w:val="24"/>
        </w:rPr>
        <w:t>организации, являющиеся участниками рынка недвижимости Республики Башкортостан, представлены банками: ПАО Сбербанк, АО «Россельхозбанк», «Газпромбанк», АО «КБ ДельтаКредит», ПАО Банк ВТБ, АО «Райффайзенбанк», АО «АЛЬФА-БАНК», АО ЮниКредит Банк, ПАО РОСБАНК</w:t>
      </w:r>
      <w:r>
        <w:rPr>
          <w:sz w:val="24"/>
          <w:szCs w:val="24"/>
        </w:rPr>
        <w:t>, ПАО «БАНК УРАЛСИБ», ПАО АКБ «Связь-Банк», ПАО «Совкомбанк» и др.</w:t>
      </w:r>
    </w:p>
    <w:p w:rsidR="00E85D42" w:rsidRDefault="00E85D42">
      <w:pPr>
        <w:jc w:val="both"/>
        <w:rPr>
          <w:sz w:val="24"/>
          <w:szCs w:val="24"/>
        </w:rPr>
      </w:pPr>
    </w:p>
    <w:p w:rsidR="00E85D42" w:rsidRDefault="008113B9">
      <w:pPr>
        <w:ind w:firstLine="709"/>
        <w:jc w:val="both"/>
        <w:rPr>
          <w:b/>
          <w:i/>
          <w:sz w:val="24"/>
          <w:szCs w:val="24"/>
        </w:rPr>
      </w:pPr>
      <w:r>
        <w:rPr>
          <w:b/>
          <w:i/>
          <w:sz w:val="24"/>
          <w:szCs w:val="24"/>
        </w:rPr>
        <w:t>Политика региональных органов власти, органов местного самоуправления в области землепользования и развития рынка в целом и его сегментов</w:t>
      </w:r>
    </w:p>
    <w:p w:rsidR="00E85D42" w:rsidRDefault="008113B9">
      <w:pPr>
        <w:ind w:firstLine="709"/>
        <w:jc w:val="both"/>
        <w:rPr>
          <w:sz w:val="24"/>
          <w:szCs w:val="24"/>
        </w:rPr>
      </w:pPr>
      <w:r>
        <w:rPr>
          <w:sz w:val="24"/>
          <w:szCs w:val="24"/>
        </w:rPr>
        <w:t>В Республике Башкортостан принята и действует Госу</w:t>
      </w:r>
      <w:r>
        <w:rPr>
          <w:sz w:val="24"/>
          <w:szCs w:val="24"/>
        </w:rPr>
        <w:t>дарственная программа «Развитие земельных и имущественных отношений в Республике Башкортостан» (далее - Государственная программа), утвержденная постановлением Правительства Республики Башкортостан 28 октября 2013 года № 493 (с последующими изменениями), к</w:t>
      </w:r>
      <w:r>
        <w:rPr>
          <w:sz w:val="24"/>
          <w:szCs w:val="24"/>
        </w:rPr>
        <w:t xml:space="preserve">оторая направлена на последовательное претворение жизнь 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1662-р (с </w:t>
      </w:r>
      <w:r>
        <w:rPr>
          <w:sz w:val="24"/>
          <w:szCs w:val="24"/>
        </w:rPr>
        <w:t>последующими изменениями), Стратегии социально-экономического развития Республики Башкортостан до 2020 года, одобренной постановлением Правительства Республики Башкортостан 30 сентября 2009 года № 370, реализацию основных положений ежегодных посланий Прези</w:t>
      </w:r>
      <w:r>
        <w:rPr>
          <w:sz w:val="24"/>
          <w:szCs w:val="24"/>
        </w:rPr>
        <w:t>дента Российской Федерации Федеральному Собранию Российской Федерации и Президента Республики Башкортостан Государственному Собранию - Курултаю Республики Башкортостан, федеральных и республиканских нормативных правовых актов, Программы деятельности Правит</w:t>
      </w:r>
      <w:r>
        <w:rPr>
          <w:sz w:val="24"/>
          <w:szCs w:val="24"/>
        </w:rPr>
        <w:t>ельства Республики Башкортостан на срок своих полномочий до 2019 года, утвержденной постановлением Правительства Республики Башкортостан 15 мая 2015 года № 175, выполнение мероприятий, предусмотренных к реализации комплексным планом обеспечения устойчивого</w:t>
      </w:r>
      <w:r>
        <w:rPr>
          <w:sz w:val="24"/>
          <w:szCs w:val="24"/>
        </w:rPr>
        <w:t xml:space="preserve"> развития экономики и социальной стабильности в Республике Башкортостан на 2017 годы, утвержденным распоряжением Главы Республики Башкортостан от 18 июля 2017 года № РГ-148, и ежегодно утверждаемыми приоритетными направлениями деятельности Правительства Ре</w:t>
      </w:r>
      <w:r>
        <w:rPr>
          <w:sz w:val="24"/>
          <w:szCs w:val="24"/>
        </w:rPr>
        <w:t>спублики Башкортостан.</w:t>
      </w:r>
    </w:p>
    <w:p w:rsidR="00E85D42" w:rsidRDefault="008113B9">
      <w:pPr>
        <w:ind w:firstLine="709"/>
        <w:jc w:val="both"/>
        <w:rPr>
          <w:sz w:val="24"/>
          <w:szCs w:val="24"/>
        </w:rPr>
      </w:pPr>
      <w:r>
        <w:rPr>
          <w:sz w:val="24"/>
          <w:szCs w:val="24"/>
        </w:rPr>
        <w:t>Реализация мероприятий программы обеспечивает условия для рационального и эффективного использования государственного имущества и земельных ресурсов в целях обеспечения государственных интересов Республики Башкортостан, удовлетворени</w:t>
      </w:r>
      <w:r>
        <w:rPr>
          <w:sz w:val="24"/>
          <w:szCs w:val="24"/>
        </w:rPr>
        <w:t xml:space="preserve">я потребностей граждан в улучшении жилищных условий путем однократного и бесплатного предоставления им земельных участков для индивидуального жилищного строительства, вовлечения в хозяйственный оборот незадействованных активов, также получения максимально </w:t>
      </w:r>
      <w:r>
        <w:rPr>
          <w:sz w:val="24"/>
          <w:szCs w:val="24"/>
        </w:rPr>
        <w:t>возможных доходов от использования и продажи земельно-имущественных активов.</w:t>
      </w:r>
    </w:p>
    <w:p w:rsidR="00E85D42" w:rsidRDefault="008113B9">
      <w:pPr>
        <w:ind w:firstLine="709"/>
        <w:jc w:val="both"/>
      </w:pPr>
      <w:r>
        <w:rPr>
          <w:sz w:val="24"/>
          <w:szCs w:val="24"/>
        </w:rPr>
        <w:t>По данным Министерства земельных и имущественных отношений Республики Башкортостан</w:t>
      </w:r>
      <w:r>
        <w:rPr>
          <w:sz w:val="24"/>
          <w:szCs w:val="24"/>
          <w:vertAlign w:val="superscript"/>
        </w:rPr>
        <w:footnoteReference w:id="12"/>
      </w:r>
      <w:r>
        <w:rPr>
          <w:sz w:val="24"/>
          <w:szCs w:val="24"/>
        </w:rPr>
        <w:t xml:space="preserve"> о ходе реализации Государственной программы, по целевому индикатору «Доля граждан, получивших однократно и бесплатно земельные участки для индивидуального</w:t>
      </w:r>
      <w:r>
        <w:rPr>
          <w:sz w:val="24"/>
          <w:szCs w:val="24"/>
        </w:rPr>
        <w:t xml:space="preserve"> жилищного строительства, от общего числа поставленных на учет граждан к концу года» плановое задание 2018 года (58%) выполнено на 109,5%. Фактически достигнутое значение составило 63,5%.</w:t>
      </w:r>
    </w:p>
    <w:p w:rsidR="00E85D42" w:rsidRDefault="008113B9">
      <w:pPr>
        <w:ind w:firstLine="709"/>
        <w:jc w:val="both"/>
        <w:rPr>
          <w:sz w:val="24"/>
          <w:szCs w:val="24"/>
        </w:rPr>
      </w:pPr>
      <w:r>
        <w:rPr>
          <w:sz w:val="24"/>
          <w:szCs w:val="24"/>
        </w:rPr>
        <w:t>В целом по республике на 1 января 2019 года поставлено на учет в кач</w:t>
      </w:r>
      <w:r>
        <w:rPr>
          <w:sz w:val="24"/>
          <w:szCs w:val="24"/>
        </w:rPr>
        <w:t>естве нуждающихся 87 732 гражданина, предоставлено 55 673 земельных участка. Обеспеченность земельными участками всех льготных категорий граждан на 1 января 2019 года составила 63,5% (в 2017 году - 56,6%).</w:t>
      </w:r>
    </w:p>
    <w:p w:rsidR="00E85D42" w:rsidRDefault="008113B9">
      <w:pPr>
        <w:ind w:firstLine="709"/>
        <w:jc w:val="both"/>
        <w:rPr>
          <w:sz w:val="24"/>
          <w:szCs w:val="24"/>
        </w:rPr>
      </w:pPr>
      <w:r>
        <w:rPr>
          <w:sz w:val="24"/>
          <w:szCs w:val="24"/>
        </w:rPr>
        <w:t>Реализация Государственной программы будет продолж</w:t>
      </w:r>
      <w:r>
        <w:rPr>
          <w:sz w:val="24"/>
          <w:szCs w:val="24"/>
        </w:rPr>
        <w:t>ена в рамках запланированных на 2019год мероприятий.</w:t>
      </w:r>
    </w:p>
    <w:p w:rsidR="00E85D42" w:rsidRDefault="00E85D42">
      <w:pPr>
        <w:ind w:firstLine="709"/>
        <w:jc w:val="both"/>
        <w:rPr>
          <w:i/>
          <w:sz w:val="24"/>
          <w:szCs w:val="24"/>
        </w:rPr>
      </w:pPr>
    </w:p>
    <w:p w:rsidR="00E85D42" w:rsidRDefault="008113B9">
      <w:pPr>
        <w:ind w:firstLine="709"/>
        <w:jc w:val="both"/>
        <w:rPr>
          <w:b/>
          <w:i/>
          <w:sz w:val="24"/>
          <w:szCs w:val="24"/>
        </w:rPr>
      </w:pPr>
      <w:r>
        <w:rPr>
          <w:b/>
          <w:i/>
          <w:sz w:val="24"/>
          <w:szCs w:val="24"/>
        </w:rPr>
        <w:t>Анализ уровня цен в строительной отрасли</w:t>
      </w:r>
    </w:p>
    <w:p w:rsidR="00E85D42" w:rsidRDefault="008113B9">
      <w:pPr>
        <w:ind w:firstLine="709"/>
        <w:jc w:val="both"/>
      </w:pPr>
      <w:r>
        <w:rPr>
          <w:sz w:val="24"/>
          <w:szCs w:val="24"/>
        </w:rPr>
        <w:t>Статистические данные, размещенные на официальном сайте Башкортостанстата</w:t>
      </w:r>
      <w:r>
        <w:rPr>
          <w:sz w:val="24"/>
          <w:szCs w:val="24"/>
          <w:vertAlign w:val="superscript"/>
        </w:rPr>
        <w:footnoteReference w:id="13"/>
      </w:r>
      <w:r>
        <w:rPr>
          <w:sz w:val="24"/>
          <w:szCs w:val="24"/>
        </w:rPr>
        <w:t>, дают представление об индексах цен на продукцию (затраты, услуги) инвестиционного назначения, в том числе по отр</w:t>
      </w:r>
      <w:r>
        <w:rPr>
          <w:sz w:val="24"/>
          <w:szCs w:val="24"/>
        </w:rPr>
        <w:t xml:space="preserve">асли строительства, на территории Республики Башкортостан. </w:t>
      </w:r>
    </w:p>
    <w:p w:rsidR="00E85D42" w:rsidRDefault="00E85D42">
      <w:pPr>
        <w:jc w:val="both"/>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E85D42">
      <w:pPr>
        <w:ind w:firstLine="709"/>
        <w:jc w:val="center"/>
        <w:rPr>
          <w:sz w:val="24"/>
          <w:szCs w:val="24"/>
        </w:rPr>
      </w:pPr>
    </w:p>
    <w:p w:rsidR="00E85D42" w:rsidRDefault="008113B9">
      <w:pPr>
        <w:ind w:firstLine="709"/>
        <w:jc w:val="center"/>
        <w:rPr>
          <w:sz w:val="24"/>
          <w:szCs w:val="24"/>
        </w:rPr>
      </w:pPr>
      <w:r>
        <w:rPr>
          <w:sz w:val="24"/>
          <w:szCs w:val="24"/>
        </w:rPr>
        <w:t>Индексы цен на продукцию (затраты, услуги) инвестиционного назначения (строительная отрасль) по Республике Башкортостан</w:t>
      </w:r>
    </w:p>
    <w:p w:rsidR="00E85D42" w:rsidRDefault="008113B9">
      <w:pPr>
        <w:ind w:firstLine="709"/>
        <w:jc w:val="center"/>
        <w:rPr>
          <w:sz w:val="24"/>
          <w:szCs w:val="24"/>
        </w:rPr>
      </w:pPr>
      <w:r>
        <w:rPr>
          <w:sz w:val="24"/>
          <w:szCs w:val="24"/>
        </w:rPr>
        <w:t xml:space="preserve">(в % к декабрю предыдущего года) </w:t>
      </w:r>
    </w:p>
    <w:p w:rsidR="00E85D42" w:rsidRDefault="00E85D42">
      <w:pPr>
        <w:ind w:firstLine="709"/>
        <w:jc w:val="right"/>
        <w:rPr>
          <w:sz w:val="24"/>
          <w:szCs w:val="24"/>
        </w:rPr>
      </w:pPr>
    </w:p>
    <w:p w:rsidR="00E85D42" w:rsidRDefault="008113B9">
      <w:pPr>
        <w:ind w:firstLine="709"/>
        <w:jc w:val="right"/>
        <w:rPr>
          <w:sz w:val="24"/>
          <w:szCs w:val="24"/>
        </w:rPr>
      </w:pPr>
      <w:r>
        <w:rPr>
          <w:sz w:val="24"/>
          <w:szCs w:val="24"/>
        </w:rPr>
        <w:t xml:space="preserve">Таблица 3.1.4.1.2 </w:t>
      </w:r>
    </w:p>
    <w:p w:rsidR="00E85D42" w:rsidRDefault="008113B9">
      <w:pPr>
        <w:jc w:val="both"/>
      </w:pPr>
      <w:r>
        <w:rPr>
          <w:noProof/>
          <w:sz w:val="24"/>
          <w:szCs w:val="24"/>
        </w:rPr>
        <w:drawing>
          <wp:inline distT="0" distB="0" distL="0" distR="0">
            <wp:extent cx="5939786" cy="6292845"/>
            <wp:effectExtent l="0" t="0" r="3814" b="0"/>
            <wp:docPr id="100" name="Рисунок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5939786" cy="6292845"/>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E85D42">
      <w:pPr>
        <w:ind w:firstLine="709"/>
        <w:jc w:val="both"/>
        <w:rPr>
          <w:sz w:val="24"/>
          <w:szCs w:val="24"/>
        </w:rPr>
      </w:pPr>
    </w:p>
    <w:p w:rsidR="00E85D42" w:rsidRDefault="008113B9">
      <w:pPr>
        <w:ind w:firstLine="709"/>
        <w:jc w:val="both"/>
      </w:pPr>
      <w:r>
        <w:rPr>
          <w:noProof/>
          <w:sz w:val="24"/>
          <w:szCs w:val="24"/>
        </w:rPr>
        <w:drawing>
          <wp:inline distT="0" distB="0" distL="0" distR="0">
            <wp:extent cx="5048246" cy="3438528"/>
            <wp:effectExtent l="0" t="0" r="4" b="9522"/>
            <wp:docPr id="101" name="Рисунок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5048246" cy="3438528"/>
                    </a:xfrm>
                    <a:prstGeom prst="rect">
                      <a:avLst/>
                    </a:prstGeom>
                    <a:noFill/>
                    <a:ln>
                      <a:noFill/>
                      <a:prstDash/>
                    </a:ln>
                  </pic:spPr>
                </pic:pic>
              </a:graphicData>
            </a:graphic>
          </wp:inline>
        </w:drawing>
      </w:r>
    </w:p>
    <w:p w:rsidR="00E85D42" w:rsidRDefault="00E85D42">
      <w:pPr>
        <w:ind w:firstLine="709"/>
        <w:jc w:val="both"/>
        <w:rPr>
          <w:sz w:val="24"/>
          <w:szCs w:val="24"/>
        </w:rPr>
      </w:pPr>
    </w:p>
    <w:p w:rsidR="00E85D42" w:rsidRDefault="008113B9">
      <w:pPr>
        <w:jc w:val="center"/>
        <w:rPr>
          <w:i/>
          <w:sz w:val="24"/>
          <w:szCs w:val="24"/>
        </w:rPr>
      </w:pPr>
      <w:r>
        <w:rPr>
          <w:i/>
          <w:sz w:val="24"/>
          <w:szCs w:val="24"/>
        </w:rPr>
        <w:t>Рис.3.1.4.1.1  Динамика индексов цен в строительной отрасли Республики Башкортостан</w:t>
      </w:r>
    </w:p>
    <w:p w:rsidR="00E85D42" w:rsidRDefault="00E85D42">
      <w:pPr>
        <w:ind w:firstLine="709"/>
        <w:jc w:val="both"/>
        <w:rPr>
          <w:sz w:val="24"/>
          <w:szCs w:val="24"/>
        </w:rPr>
      </w:pPr>
    </w:p>
    <w:p w:rsidR="00E85D42" w:rsidRDefault="008113B9">
      <w:pPr>
        <w:ind w:firstLine="709"/>
        <w:jc w:val="both"/>
        <w:rPr>
          <w:sz w:val="24"/>
          <w:szCs w:val="24"/>
        </w:rPr>
      </w:pPr>
      <w:r>
        <w:rPr>
          <w:sz w:val="24"/>
          <w:szCs w:val="24"/>
        </w:rPr>
        <w:t xml:space="preserve">Таким образом, динамика индексов цен в строительной отрасли республики показывает, что после падения индекса цен в 2017 году, в 2018 году произошел рост этого </w:t>
      </w:r>
      <w:r>
        <w:rPr>
          <w:sz w:val="24"/>
          <w:szCs w:val="24"/>
        </w:rPr>
        <w:t>показателя.</w:t>
      </w:r>
    </w:p>
    <w:p w:rsidR="00E85D42" w:rsidRDefault="008113B9">
      <w:pPr>
        <w:ind w:firstLine="709"/>
        <w:jc w:val="both"/>
        <w:rPr>
          <w:sz w:val="24"/>
          <w:szCs w:val="24"/>
        </w:rPr>
      </w:pPr>
      <w:r>
        <w:rPr>
          <w:sz w:val="24"/>
          <w:szCs w:val="24"/>
        </w:rPr>
        <w:t>Рост цен в 2018 году коснулся также и рынка жилья. Данные Башкортостанстата о динамике цен на рынке жилья в Республике Башкортостан приведены в таблице3.1.4.1.3</w:t>
      </w:r>
    </w:p>
    <w:p w:rsidR="00E85D42" w:rsidRDefault="00E85D42">
      <w:pPr>
        <w:ind w:firstLine="709"/>
        <w:jc w:val="both"/>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8113B9">
      <w:pPr>
        <w:jc w:val="center"/>
      </w:pPr>
      <w:r>
        <w:rPr>
          <w:sz w:val="24"/>
          <w:szCs w:val="24"/>
        </w:rPr>
        <w:t>Динамика цен на рынке жилья в Республике Башкортостан</w:t>
      </w:r>
      <w:r>
        <w:rPr>
          <w:sz w:val="24"/>
          <w:szCs w:val="24"/>
          <w:vertAlign w:val="superscript"/>
        </w:rPr>
        <w:footnoteReference w:id="14"/>
      </w:r>
    </w:p>
    <w:p w:rsidR="00E85D42" w:rsidRDefault="008113B9">
      <w:pPr>
        <w:jc w:val="right"/>
        <w:rPr>
          <w:sz w:val="24"/>
          <w:szCs w:val="24"/>
        </w:rPr>
      </w:pPr>
      <w:r>
        <w:rPr>
          <w:sz w:val="24"/>
          <w:szCs w:val="24"/>
        </w:rPr>
        <w:t xml:space="preserve">Таблица 3.1.4.1.3 </w:t>
      </w:r>
    </w:p>
    <w:p w:rsidR="00E85D42" w:rsidRDefault="008113B9">
      <w:pPr>
        <w:jc w:val="both"/>
      </w:pPr>
      <w:r>
        <w:rPr>
          <w:noProof/>
          <w:sz w:val="24"/>
          <w:szCs w:val="24"/>
        </w:rPr>
        <w:drawing>
          <wp:inline distT="0" distB="0" distL="0" distR="0">
            <wp:extent cx="5895978" cy="7515224"/>
            <wp:effectExtent l="0" t="0" r="9522" b="0"/>
            <wp:docPr id="102" name="Рисунок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895978" cy="7515224"/>
                    </a:xfrm>
                    <a:prstGeom prst="rect">
                      <a:avLst/>
                    </a:prstGeom>
                    <a:noFill/>
                    <a:ln>
                      <a:noFill/>
                      <a:prstDash/>
                    </a:ln>
                  </pic:spPr>
                </pic:pic>
              </a:graphicData>
            </a:graphic>
          </wp:inline>
        </w:drawing>
      </w:r>
    </w:p>
    <w:p w:rsidR="00E85D42" w:rsidRDefault="00E85D42">
      <w:pPr>
        <w:jc w:val="center"/>
        <w:rPr>
          <w:sz w:val="24"/>
          <w:szCs w:val="24"/>
        </w:rPr>
      </w:pPr>
    </w:p>
    <w:p w:rsidR="00E85D42" w:rsidRDefault="00E85D42">
      <w:pPr>
        <w:ind w:firstLine="709"/>
        <w:jc w:val="both"/>
        <w:rPr>
          <w:b/>
          <w:i/>
          <w:sz w:val="24"/>
          <w:szCs w:val="24"/>
        </w:rPr>
      </w:pPr>
    </w:p>
    <w:p w:rsidR="00E85D42" w:rsidRDefault="008113B9">
      <w:pPr>
        <w:ind w:firstLine="709"/>
        <w:jc w:val="both"/>
      </w:pPr>
      <w:r>
        <w:rPr>
          <w:b/>
          <w:i/>
          <w:sz w:val="24"/>
          <w:szCs w:val="24"/>
        </w:rPr>
        <w:t>Анализ особенностей кредитования рынка недвижим</w:t>
      </w:r>
      <w:r>
        <w:rPr>
          <w:b/>
          <w:i/>
          <w:sz w:val="24"/>
          <w:szCs w:val="24"/>
        </w:rPr>
        <w:t>ости и его финансовых показателей</w:t>
      </w:r>
      <w:r>
        <w:rPr>
          <w:b/>
          <w:i/>
          <w:sz w:val="24"/>
          <w:szCs w:val="24"/>
          <w:vertAlign w:val="superscript"/>
        </w:rPr>
        <w:footnoteReference w:id="15"/>
      </w:r>
    </w:p>
    <w:p w:rsidR="00E85D42" w:rsidRDefault="008113B9">
      <w:pPr>
        <w:ind w:firstLine="709"/>
        <w:jc w:val="both"/>
      </w:pPr>
      <w:r>
        <w:rPr>
          <w:sz w:val="24"/>
          <w:szCs w:val="24"/>
        </w:rPr>
        <w:t>Согласно данным статистической отчетности Центрального банка Российской Федерации</w:t>
      </w:r>
      <w:r>
        <w:rPr>
          <w:sz w:val="24"/>
          <w:szCs w:val="24"/>
          <w:vertAlign w:val="superscript"/>
        </w:rPr>
        <w:footnoteReference w:id="16"/>
      </w:r>
      <w:r>
        <w:rPr>
          <w:sz w:val="24"/>
          <w:szCs w:val="24"/>
        </w:rPr>
        <w:t xml:space="preserve"> (приложение 1.9), в Республике Башкортостан количество и объем ипотечных жилищных кредитов, предост</w:t>
      </w:r>
      <w:r>
        <w:rPr>
          <w:sz w:val="24"/>
          <w:szCs w:val="24"/>
        </w:rPr>
        <w:t xml:space="preserve">авленных кредитными организациями физическим лицам-резидентам, после заметного снижения в 2015 году, увеличиваются на протяжении последних лет. Данные приведены в таблице 3.1.4.1.4 и на рисунке 3.1.4.1.2. </w:t>
      </w:r>
    </w:p>
    <w:p w:rsidR="00E85D42" w:rsidRDefault="00E85D42">
      <w:pPr>
        <w:jc w:val="center"/>
        <w:rPr>
          <w:sz w:val="24"/>
          <w:szCs w:val="24"/>
        </w:rPr>
      </w:pPr>
    </w:p>
    <w:p w:rsidR="00E85D42" w:rsidRDefault="008113B9">
      <w:pPr>
        <w:jc w:val="center"/>
        <w:rPr>
          <w:sz w:val="24"/>
          <w:szCs w:val="24"/>
        </w:rPr>
      </w:pPr>
      <w:r>
        <w:rPr>
          <w:sz w:val="24"/>
          <w:szCs w:val="24"/>
        </w:rPr>
        <w:t>Отдельные показатели по ипотечным жилищным кредит</w:t>
      </w:r>
      <w:r>
        <w:rPr>
          <w:sz w:val="24"/>
          <w:szCs w:val="24"/>
        </w:rPr>
        <w:t>ам, предоставленным кредитными организациями физическим лицам-резидентам в Республике Башкортостан</w:t>
      </w:r>
    </w:p>
    <w:p w:rsidR="00E85D42" w:rsidRDefault="008113B9">
      <w:pPr>
        <w:jc w:val="right"/>
        <w:rPr>
          <w:sz w:val="24"/>
          <w:szCs w:val="24"/>
        </w:rPr>
      </w:pPr>
      <w:r>
        <w:rPr>
          <w:sz w:val="24"/>
          <w:szCs w:val="24"/>
        </w:rPr>
        <w:t>Таблица 3.1.4.1.4</w:t>
      </w:r>
    </w:p>
    <w:tbl>
      <w:tblPr>
        <w:tblW w:w="9606" w:type="dxa"/>
        <w:tblLayout w:type="fixed"/>
        <w:tblCellMar>
          <w:left w:w="10" w:type="dxa"/>
          <w:right w:w="10" w:type="dxa"/>
        </w:tblCellMar>
        <w:tblLook w:val="04A0" w:firstRow="1" w:lastRow="0" w:firstColumn="1" w:lastColumn="0" w:noHBand="0" w:noVBand="1"/>
      </w:tblPr>
      <w:tblGrid>
        <w:gridCol w:w="1720"/>
        <w:gridCol w:w="1385"/>
        <w:gridCol w:w="1025"/>
        <w:gridCol w:w="1232"/>
        <w:gridCol w:w="1409"/>
        <w:gridCol w:w="1417"/>
        <w:gridCol w:w="1418"/>
      </w:tblGrid>
      <w:tr w:rsidR="00E85D42">
        <w:tblPrEx>
          <w:tblCellMar>
            <w:top w:w="0" w:type="dxa"/>
            <w:bottom w:w="0" w:type="dxa"/>
          </w:tblCellMar>
        </w:tblPrEx>
        <w:trPr>
          <w:trHeight w:val="300"/>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Год</w:t>
            </w:r>
          </w:p>
        </w:tc>
        <w:tc>
          <w:tcPr>
            <w:tcW w:w="13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bCs/>
                <w:sz w:val="24"/>
                <w:szCs w:val="24"/>
              </w:rPr>
            </w:pPr>
            <w:r>
              <w:rPr>
                <w:bCs/>
                <w:sz w:val="24"/>
                <w:szCs w:val="24"/>
              </w:rPr>
              <w:t>Количество, единиц</w:t>
            </w:r>
          </w:p>
        </w:tc>
        <w:tc>
          <w:tcPr>
            <w:tcW w:w="10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bCs/>
                <w:sz w:val="24"/>
                <w:szCs w:val="24"/>
              </w:rPr>
            </w:pPr>
            <w:r>
              <w:rPr>
                <w:bCs/>
                <w:sz w:val="24"/>
                <w:szCs w:val="24"/>
              </w:rPr>
              <w:t>Объем, млн.руб.</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bCs/>
                <w:sz w:val="24"/>
                <w:szCs w:val="24"/>
              </w:rPr>
            </w:pPr>
            <w:r>
              <w:rPr>
                <w:bCs/>
                <w:sz w:val="24"/>
                <w:szCs w:val="24"/>
              </w:rPr>
              <w:t>Средневзвешенный срок кредитования, месяцев</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bCs/>
                <w:sz w:val="24"/>
                <w:szCs w:val="24"/>
              </w:rPr>
            </w:pPr>
            <w:r>
              <w:rPr>
                <w:bCs/>
                <w:sz w:val="24"/>
                <w:szCs w:val="24"/>
              </w:rPr>
              <w:t>Средневзвешенная ставка, %</w:t>
            </w:r>
          </w:p>
        </w:tc>
      </w:tr>
      <w:tr w:rsidR="00E85D42">
        <w:tblPrEx>
          <w:tblCellMar>
            <w:top w:w="0" w:type="dxa"/>
            <w:bottom w:w="0" w:type="dxa"/>
          </w:tblCellMar>
        </w:tblPrEx>
        <w:trPr>
          <w:trHeight w:val="153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E85D42">
            <w:pPr>
              <w:jc w:val="both"/>
              <w:rPr>
                <w:sz w:val="24"/>
                <w:szCs w:val="24"/>
              </w:rPr>
            </w:pPr>
          </w:p>
        </w:tc>
        <w:tc>
          <w:tcPr>
            <w:tcW w:w="13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both"/>
              <w:rPr>
                <w:bCs/>
                <w:sz w:val="24"/>
                <w:szCs w:val="24"/>
              </w:rPr>
            </w:pPr>
          </w:p>
        </w:tc>
        <w:tc>
          <w:tcPr>
            <w:tcW w:w="10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both"/>
              <w:rPr>
                <w:bCs/>
                <w:sz w:val="24"/>
                <w:szCs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bCs/>
                <w:sz w:val="24"/>
                <w:szCs w:val="24"/>
              </w:rPr>
            </w:pPr>
            <w:r>
              <w:rPr>
                <w:bCs/>
                <w:sz w:val="24"/>
                <w:szCs w:val="24"/>
              </w:rPr>
              <w:t>по выданным с начала года</w:t>
            </w:r>
            <w:r>
              <w:rPr>
                <w:bCs/>
                <w:sz w:val="24"/>
                <w:szCs w:val="24"/>
              </w:rPr>
              <w:t xml:space="preserve"> кредитам</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bCs/>
                <w:sz w:val="24"/>
                <w:szCs w:val="24"/>
              </w:rPr>
            </w:pPr>
            <w:r>
              <w:rPr>
                <w:bCs/>
                <w:sz w:val="24"/>
                <w:szCs w:val="24"/>
              </w:rPr>
              <w:t>по кредитам, выданным в течение месяца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bCs/>
                <w:sz w:val="24"/>
                <w:szCs w:val="24"/>
              </w:rPr>
            </w:pPr>
            <w:r>
              <w:rPr>
                <w:bCs/>
                <w:sz w:val="24"/>
                <w:szCs w:val="24"/>
              </w:rPr>
              <w:t>по выданным с начала года кредитам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bCs/>
                <w:sz w:val="24"/>
                <w:szCs w:val="24"/>
              </w:rPr>
            </w:pPr>
            <w:r>
              <w:rPr>
                <w:bCs/>
                <w:sz w:val="24"/>
                <w:szCs w:val="24"/>
              </w:rPr>
              <w:t>по кредитам, выданным в течение месяца</w:t>
            </w:r>
          </w:p>
        </w:tc>
      </w:tr>
      <w:tr w:rsidR="00E85D42">
        <w:tblPrEx>
          <w:tblCellMar>
            <w:top w:w="0" w:type="dxa"/>
            <w:bottom w:w="0" w:type="dxa"/>
          </w:tblCellMar>
        </w:tblPrEx>
        <w:trPr>
          <w:trHeight w:val="300"/>
        </w:trPr>
        <w:tc>
          <w:tcPr>
            <w:tcW w:w="17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2014</w:t>
            </w: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27 691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40 693</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179,1</w:t>
            </w:r>
          </w:p>
        </w:tc>
        <w:tc>
          <w:tcPr>
            <w:tcW w:w="14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177,4</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12,56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13,25</w:t>
            </w:r>
          </w:p>
        </w:tc>
      </w:tr>
      <w:tr w:rsidR="00E85D42">
        <w:tblPrEx>
          <w:tblCellMar>
            <w:top w:w="0" w:type="dxa"/>
            <w:bottom w:w="0" w:type="dxa"/>
          </w:tblCellMar>
        </w:tblPrEx>
        <w:trPr>
          <w:trHeight w:val="300"/>
        </w:trPr>
        <w:tc>
          <w:tcPr>
            <w:tcW w:w="17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2015</w:t>
            </w: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22 752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31 401</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169,9</w:t>
            </w:r>
          </w:p>
        </w:tc>
        <w:tc>
          <w:tcPr>
            <w:tcW w:w="14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172,9</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13,56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12,9</w:t>
            </w:r>
          </w:p>
        </w:tc>
      </w:tr>
      <w:tr w:rsidR="00E85D42">
        <w:tblPrEx>
          <w:tblCellMar>
            <w:top w:w="0" w:type="dxa"/>
            <w:bottom w:w="0" w:type="dxa"/>
          </w:tblCellMar>
        </w:tblPrEx>
        <w:trPr>
          <w:trHeight w:val="300"/>
        </w:trPr>
        <w:tc>
          <w:tcPr>
            <w:tcW w:w="17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30 399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43 550</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172,5</w:t>
            </w:r>
          </w:p>
        </w:tc>
        <w:tc>
          <w:tcPr>
            <w:tcW w:w="14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175,9</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12,69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11,83</w:t>
            </w:r>
          </w:p>
        </w:tc>
      </w:tr>
      <w:tr w:rsidR="00E85D42">
        <w:tblPrEx>
          <w:tblCellMar>
            <w:top w:w="0" w:type="dxa"/>
            <w:bottom w:w="0" w:type="dxa"/>
          </w:tblCellMar>
        </w:tblPrEx>
        <w:trPr>
          <w:trHeight w:val="300"/>
        </w:trPr>
        <w:tc>
          <w:tcPr>
            <w:tcW w:w="17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2017</w:t>
            </w: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38 887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60 632</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176,3</w:t>
            </w:r>
          </w:p>
        </w:tc>
        <w:tc>
          <w:tcPr>
            <w:tcW w:w="14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178,2</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10,61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9,64</w:t>
            </w:r>
          </w:p>
        </w:tc>
      </w:tr>
      <w:tr w:rsidR="00E85D42">
        <w:tblPrEx>
          <w:tblCellMar>
            <w:top w:w="0" w:type="dxa"/>
            <w:bottom w:w="0" w:type="dxa"/>
          </w:tblCellMar>
        </w:tblPrEx>
        <w:trPr>
          <w:trHeight w:val="300"/>
        </w:trPr>
        <w:tc>
          <w:tcPr>
            <w:tcW w:w="17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 xml:space="preserve">53 504 </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92 260</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186,3</w:t>
            </w:r>
          </w:p>
        </w:tc>
        <w:tc>
          <w:tcPr>
            <w:tcW w:w="14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195</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9,55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9,65</w:t>
            </w:r>
          </w:p>
        </w:tc>
      </w:tr>
    </w:tbl>
    <w:p w:rsidR="00E85D42" w:rsidRDefault="00E85D42">
      <w:pPr>
        <w:jc w:val="both"/>
        <w:rPr>
          <w:sz w:val="24"/>
          <w:szCs w:val="24"/>
        </w:rPr>
      </w:pPr>
    </w:p>
    <w:p w:rsidR="00E85D42" w:rsidRDefault="00E85D42">
      <w:pPr>
        <w:jc w:val="both"/>
        <w:rPr>
          <w:sz w:val="24"/>
          <w:szCs w:val="24"/>
        </w:rPr>
      </w:pPr>
    </w:p>
    <w:p w:rsidR="00E85D42" w:rsidRDefault="008113B9">
      <w:pPr>
        <w:jc w:val="center"/>
      </w:pPr>
      <w:r>
        <w:rPr>
          <w:noProof/>
          <w:sz w:val="24"/>
          <w:szCs w:val="24"/>
        </w:rPr>
        <w:drawing>
          <wp:inline distT="0" distB="0" distL="0" distR="0">
            <wp:extent cx="5194304" cy="3243577"/>
            <wp:effectExtent l="0" t="0" r="6346" b="0"/>
            <wp:docPr id="103" name="Рисунок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rcRect/>
                    <a:stretch>
                      <a:fillRect/>
                    </a:stretch>
                  </pic:blipFill>
                  <pic:spPr>
                    <a:xfrm>
                      <a:off x="0" y="0"/>
                      <a:ext cx="5194304" cy="3243577"/>
                    </a:xfrm>
                    <a:prstGeom prst="rect">
                      <a:avLst/>
                    </a:prstGeom>
                    <a:noFill/>
                    <a:ln>
                      <a:noFill/>
                      <a:prstDash/>
                    </a:ln>
                  </pic:spPr>
                </pic:pic>
              </a:graphicData>
            </a:graphic>
          </wp:inline>
        </w:drawing>
      </w:r>
    </w:p>
    <w:p w:rsidR="00E85D42" w:rsidRDefault="008113B9">
      <w:pPr>
        <w:jc w:val="center"/>
        <w:rPr>
          <w:i/>
          <w:sz w:val="24"/>
          <w:szCs w:val="24"/>
        </w:rPr>
      </w:pPr>
      <w:r>
        <w:rPr>
          <w:i/>
          <w:sz w:val="24"/>
          <w:szCs w:val="24"/>
        </w:rPr>
        <w:t>Рис.3.1.4.1.2 Динамика объема выданных ипотечных жилищных кредитов физическим лицам в Республике Башкортостан</w:t>
      </w:r>
    </w:p>
    <w:p w:rsidR="00E85D42" w:rsidRDefault="008113B9">
      <w:pPr>
        <w:ind w:firstLine="709"/>
        <w:jc w:val="center"/>
      </w:pPr>
      <w:r>
        <w:rPr>
          <w:noProof/>
          <w:sz w:val="24"/>
          <w:szCs w:val="24"/>
        </w:rPr>
        <w:drawing>
          <wp:inline distT="0" distB="0" distL="0" distR="0">
            <wp:extent cx="5543549" cy="2886074"/>
            <wp:effectExtent l="0" t="0" r="0" b="0"/>
            <wp:docPr id="104"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E85D42" w:rsidRDefault="00E85D42">
      <w:pPr>
        <w:ind w:firstLine="709"/>
        <w:jc w:val="center"/>
        <w:rPr>
          <w:sz w:val="24"/>
          <w:szCs w:val="24"/>
        </w:rPr>
      </w:pPr>
    </w:p>
    <w:p w:rsidR="00E85D42" w:rsidRDefault="008113B9">
      <w:pPr>
        <w:ind w:firstLine="709"/>
        <w:jc w:val="center"/>
        <w:rPr>
          <w:i/>
          <w:sz w:val="24"/>
          <w:szCs w:val="24"/>
        </w:rPr>
      </w:pPr>
      <w:r>
        <w:rPr>
          <w:i/>
          <w:sz w:val="24"/>
          <w:szCs w:val="24"/>
        </w:rPr>
        <w:t xml:space="preserve">Рис.3.1.4.1.3  Динамика изменения ставки по ипотечным </w:t>
      </w:r>
      <w:r>
        <w:rPr>
          <w:i/>
          <w:sz w:val="24"/>
          <w:szCs w:val="24"/>
        </w:rPr>
        <w:t>жилищным кредитам</w:t>
      </w:r>
    </w:p>
    <w:p w:rsidR="00E85D42" w:rsidRDefault="00E85D42">
      <w:pPr>
        <w:ind w:firstLine="709"/>
        <w:jc w:val="both"/>
        <w:rPr>
          <w:sz w:val="24"/>
          <w:szCs w:val="24"/>
        </w:rPr>
      </w:pPr>
    </w:p>
    <w:p w:rsidR="00E85D42" w:rsidRDefault="008113B9">
      <w:pPr>
        <w:ind w:firstLine="709"/>
        <w:jc w:val="both"/>
      </w:pPr>
      <w:r>
        <w:rPr>
          <w:sz w:val="24"/>
          <w:szCs w:val="24"/>
        </w:rPr>
        <w:t>При этом по данным статистики Центрального банка Российской Федерации</w:t>
      </w:r>
      <w:r>
        <w:rPr>
          <w:sz w:val="24"/>
          <w:szCs w:val="24"/>
          <w:vertAlign w:val="superscript"/>
        </w:rPr>
        <w:footnoteReference w:id="17"/>
      </w:r>
      <w:r>
        <w:rPr>
          <w:sz w:val="24"/>
          <w:szCs w:val="24"/>
        </w:rPr>
        <w:t xml:space="preserve"> </w:t>
      </w:r>
      <w:r>
        <w:rPr>
          <w:sz w:val="24"/>
          <w:szCs w:val="24"/>
        </w:rPr>
        <w:t>(приложение 1.9), на протяжении последних лет в республике последовательно сокращается количество действующих кредитных организаций, что отчасти объясняется проводимой Центробанком политикой очистки банковского сектора от недобросовестных игроков. Данные о</w:t>
      </w:r>
      <w:r>
        <w:rPr>
          <w:sz w:val="24"/>
          <w:szCs w:val="24"/>
        </w:rPr>
        <w:t xml:space="preserve"> структуре кредитных организаций, осуществляющих деятельность на территории Республики Башкортостан и имеющих полномочия по предоставлению ипотечных жилищных кредитов, представлены в таблице 3.1.4.1.5.</w:t>
      </w:r>
    </w:p>
    <w:p w:rsidR="00E85D42" w:rsidRDefault="00E85D42">
      <w:pPr>
        <w:ind w:firstLine="709"/>
        <w:jc w:val="both"/>
        <w:rPr>
          <w:sz w:val="24"/>
          <w:szCs w:val="24"/>
        </w:rPr>
      </w:pPr>
    </w:p>
    <w:p w:rsidR="00E85D42" w:rsidRDefault="008113B9">
      <w:pPr>
        <w:jc w:val="center"/>
        <w:rPr>
          <w:sz w:val="24"/>
          <w:szCs w:val="24"/>
        </w:rPr>
      </w:pPr>
      <w:r>
        <w:rPr>
          <w:sz w:val="24"/>
          <w:szCs w:val="24"/>
        </w:rPr>
        <w:t>Региональная структура кредитных организаций - участн</w:t>
      </w:r>
      <w:r>
        <w:rPr>
          <w:sz w:val="24"/>
          <w:szCs w:val="24"/>
        </w:rPr>
        <w:t>иков рынка ипотечного жилищного кредитования в Республике Башкортостан</w:t>
      </w:r>
    </w:p>
    <w:p w:rsidR="00E85D42" w:rsidRDefault="008113B9">
      <w:pPr>
        <w:ind w:firstLine="709"/>
        <w:jc w:val="right"/>
        <w:rPr>
          <w:sz w:val="24"/>
          <w:szCs w:val="24"/>
        </w:rPr>
      </w:pPr>
      <w:r>
        <w:rPr>
          <w:sz w:val="24"/>
          <w:szCs w:val="24"/>
        </w:rPr>
        <w:t xml:space="preserve">Таблица 3.1.4.1.5 </w:t>
      </w:r>
    </w:p>
    <w:tbl>
      <w:tblPr>
        <w:tblW w:w="9859" w:type="dxa"/>
        <w:tblInd w:w="-289" w:type="dxa"/>
        <w:tblCellMar>
          <w:left w:w="10" w:type="dxa"/>
          <w:right w:w="10" w:type="dxa"/>
        </w:tblCellMar>
        <w:tblLook w:val="04A0" w:firstRow="1" w:lastRow="0" w:firstColumn="1" w:lastColumn="0" w:noHBand="0" w:noVBand="1"/>
      </w:tblPr>
      <w:tblGrid>
        <w:gridCol w:w="617"/>
        <w:gridCol w:w="1274"/>
        <w:gridCol w:w="1616"/>
        <w:gridCol w:w="1616"/>
        <w:gridCol w:w="1465"/>
        <w:gridCol w:w="1610"/>
        <w:gridCol w:w="1661"/>
      </w:tblGrid>
      <w:tr w:rsidR="00E85D42">
        <w:tblPrEx>
          <w:tblCellMar>
            <w:top w:w="0" w:type="dxa"/>
            <w:bottom w:w="0" w:type="dxa"/>
          </w:tblCellMar>
        </w:tblPrEx>
        <w:trPr>
          <w:trHeight w:val="2730"/>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bCs/>
                <w:sz w:val="24"/>
                <w:szCs w:val="24"/>
              </w:rPr>
            </w:pPr>
            <w:r>
              <w:rPr>
                <w:bCs/>
                <w:sz w:val="24"/>
                <w:szCs w:val="24"/>
              </w:rPr>
              <w:t>Год</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bCs/>
                <w:sz w:val="24"/>
                <w:szCs w:val="24"/>
              </w:rPr>
            </w:pPr>
            <w:r>
              <w:rPr>
                <w:bCs/>
                <w:sz w:val="24"/>
                <w:szCs w:val="24"/>
              </w:rPr>
              <w:t>Количество действующих кредитных организаций</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bCs/>
                <w:sz w:val="24"/>
                <w:szCs w:val="24"/>
              </w:rPr>
            </w:pPr>
            <w:r>
              <w:rPr>
                <w:bCs/>
                <w:sz w:val="24"/>
                <w:szCs w:val="24"/>
              </w:rPr>
              <w:t>Количество кредитных организаций, предоставляющих ипотечные жилищные кредиты</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bCs/>
                <w:sz w:val="24"/>
                <w:szCs w:val="24"/>
              </w:rPr>
            </w:pPr>
            <w:r>
              <w:rPr>
                <w:bCs/>
                <w:sz w:val="24"/>
                <w:szCs w:val="24"/>
              </w:rPr>
              <w:t>Количество кредитных организаций, предос</w:t>
            </w:r>
            <w:r>
              <w:rPr>
                <w:bCs/>
                <w:sz w:val="24"/>
                <w:szCs w:val="24"/>
              </w:rPr>
              <w:t>тавляющих ипотечные жилищные кредиты, выданные под залог прав требования  по договорам участия в долевом строительстве</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bCs/>
                <w:sz w:val="24"/>
                <w:szCs w:val="24"/>
              </w:rPr>
            </w:pPr>
            <w:r>
              <w:rPr>
                <w:bCs/>
                <w:sz w:val="24"/>
                <w:szCs w:val="24"/>
              </w:rPr>
              <w:t>Количество кредитных организаций, приобретающих права требования по ипотечным жилищным кредитам</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bCs/>
                <w:sz w:val="24"/>
                <w:szCs w:val="24"/>
              </w:rPr>
            </w:pPr>
            <w:r>
              <w:rPr>
                <w:bCs/>
                <w:sz w:val="24"/>
                <w:szCs w:val="24"/>
              </w:rPr>
              <w:t>Количество кредитных организаций, осущест</w:t>
            </w:r>
            <w:r>
              <w:rPr>
                <w:bCs/>
                <w:sz w:val="24"/>
                <w:szCs w:val="24"/>
              </w:rPr>
              <w:t>вляющих перекредитование ранее выданных ипотечных жилищных кредитов</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bCs/>
                <w:sz w:val="24"/>
                <w:szCs w:val="24"/>
              </w:rPr>
            </w:pPr>
            <w:r>
              <w:rPr>
                <w:bCs/>
                <w:sz w:val="24"/>
                <w:szCs w:val="24"/>
              </w:rPr>
              <w:t>Количество кредитных организаций, привлекающих рефинансирование на вторичном рынке ипотечного кредитования</w:t>
            </w:r>
          </w:p>
        </w:tc>
      </w:tr>
      <w:tr w:rsidR="00E85D42">
        <w:tblPrEx>
          <w:tblCellMar>
            <w:top w:w="0" w:type="dxa"/>
            <w:bottom w:w="0" w:type="dxa"/>
          </w:tblCellMar>
        </w:tblPrEx>
        <w:trPr>
          <w:trHeight w:val="300"/>
        </w:trPr>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11</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10</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6</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6</w:t>
            </w:r>
          </w:p>
        </w:tc>
      </w:tr>
      <w:tr w:rsidR="00E85D42">
        <w:tblPrEx>
          <w:tblCellMar>
            <w:top w:w="0" w:type="dxa"/>
            <w:bottom w:w="0" w:type="dxa"/>
          </w:tblCellMar>
        </w:tblPrEx>
        <w:trPr>
          <w:trHeight w:val="300"/>
        </w:trPr>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10</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9</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6</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0</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w:t>
            </w:r>
          </w:p>
        </w:tc>
      </w:tr>
      <w:tr w:rsidR="00E85D42">
        <w:tblPrEx>
          <w:tblCellMar>
            <w:top w:w="0" w:type="dxa"/>
            <w:bottom w:w="0" w:type="dxa"/>
          </w:tblCellMar>
        </w:tblPrEx>
        <w:trPr>
          <w:trHeight w:val="300"/>
        </w:trPr>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7</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9</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0</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w:t>
            </w:r>
          </w:p>
        </w:tc>
      </w:tr>
      <w:tr w:rsidR="00E85D42">
        <w:tblPrEx>
          <w:tblCellMar>
            <w:top w:w="0" w:type="dxa"/>
            <w:bottom w:w="0" w:type="dxa"/>
          </w:tblCellMar>
        </w:tblPrEx>
        <w:trPr>
          <w:trHeight w:val="300"/>
        </w:trPr>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0</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w:t>
            </w:r>
          </w:p>
        </w:tc>
      </w:tr>
      <w:tr w:rsidR="00E85D42">
        <w:tblPrEx>
          <w:tblCellMar>
            <w:top w:w="0" w:type="dxa"/>
            <w:bottom w:w="0" w:type="dxa"/>
          </w:tblCellMar>
        </w:tblPrEx>
        <w:trPr>
          <w:trHeight w:val="300"/>
        </w:trPr>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0</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w:t>
            </w:r>
          </w:p>
        </w:tc>
      </w:tr>
      <w:tr w:rsidR="00E85D42">
        <w:tblPrEx>
          <w:tblCellMar>
            <w:top w:w="0" w:type="dxa"/>
            <w:bottom w:w="0" w:type="dxa"/>
          </w:tblCellMar>
        </w:tblPrEx>
        <w:trPr>
          <w:trHeight w:val="300"/>
        </w:trPr>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2017</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0</w:t>
            </w:r>
          </w:p>
        </w:tc>
      </w:tr>
      <w:tr w:rsidR="00E85D42">
        <w:tblPrEx>
          <w:tblCellMar>
            <w:top w:w="0" w:type="dxa"/>
            <w:bottom w:w="0" w:type="dxa"/>
          </w:tblCellMar>
        </w:tblPrEx>
        <w:trPr>
          <w:trHeight w:val="300"/>
        </w:trPr>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 xml:space="preserve">2018 </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w:t>
            </w:r>
          </w:p>
        </w:tc>
        <w:tc>
          <w:tcPr>
            <w:tcW w:w="1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0</w:t>
            </w:r>
          </w:p>
        </w:tc>
        <w:tc>
          <w:tcPr>
            <w:tcW w:w="1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w:t>
            </w:r>
          </w:p>
        </w:tc>
      </w:tr>
    </w:tbl>
    <w:p w:rsidR="00E85D42" w:rsidRDefault="00E85D42">
      <w:pPr>
        <w:ind w:firstLine="709"/>
        <w:jc w:val="both"/>
        <w:rPr>
          <w:b/>
          <w:i/>
          <w:sz w:val="24"/>
          <w:szCs w:val="24"/>
        </w:rPr>
      </w:pPr>
    </w:p>
    <w:p w:rsidR="00E85D42" w:rsidRDefault="008113B9">
      <w:pPr>
        <w:ind w:firstLine="709"/>
        <w:jc w:val="both"/>
        <w:rPr>
          <w:b/>
          <w:i/>
          <w:sz w:val="24"/>
          <w:szCs w:val="24"/>
        </w:rPr>
      </w:pPr>
      <w:r>
        <w:rPr>
          <w:b/>
          <w:i/>
          <w:sz w:val="24"/>
          <w:szCs w:val="24"/>
        </w:rPr>
        <w:t>Анализ тарифов за пользование водо-, газо-, электро-, тепло- и иными видами снабжения, а также затрат на подключение к сетям инженерно-технического обеспечения.</w:t>
      </w:r>
    </w:p>
    <w:p w:rsidR="00E85D42" w:rsidRDefault="008113B9">
      <w:pPr>
        <w:ind w:firstLine="709"/>
        <w:jc w:val="both"/>
        <w:rPr>
          <w:sz w:val="24"/>
          <w:szCs w:val="24"/>
        </w:rPr>
      </w:pPr>
      <w:r>
        <w:rPr>
          <w:sz w:val="24"/>
          <w:szCs w:val="24"/>
        </w:rPr>
        <w:t xml:space="preserve">В соответствии с Положением о </w:t>
      </w:r>
      <w:r>
        <w:rPr>
          <w:sz w:val="24"/>
          <w:szCs w:val="24"/>
        </w:rPr>
        <w:t>Государственном комитете Республики Башкортостан по тарифам, утвержденным Постановлением Правительства Республики Башкортостан от 5 сентября 2013 г. N 404, республиканским органом исполнительной власти, устанавливающим цены (тарифы) за пользование водо-, г</w:t>
      </w:r>
      <w:r>
        <w:rPr>
          <w:sz w:val="24"/>
          <w:szCs w:val="24"/>
        </w:rPr>
        <w:t>азо-, электро-, тепло- и иными видами снабжения, а также за подключение к сетям инженерно-технического обеспечения на территории Республики Башкортостан является Государственный комитет Республики Башкортостан по тарифам.</w:t>
      </w:r>
    </w:p>
    <w:p w:rsidR="00E85D42" w:rsidRDefault="008113B9">
      <w:pPr>
        <w:ind w:firstLine="709"/>
        <w:jc w:val="both"/>
      </w:pPr>
      <w:r>
        <w:rPr>
          <w:sz w:val="24"/>
          <w:szCs w:val="24"/>
        </w:rPr>
        <w:t xml:space="preserve">При проведении анализа тарифов за </w:t>
      </w:r>
      <w:r>
        <w:rPr>
          <w:sz w:val="24"/>
          <w:szCs w:val="24"/>
        </w:rPr>
        <w:t>пользование водо-, газо-, электро-, тепло- и иными видами снабжения использовались данные электронного ресурса «Государственная информационная система жилищно-коммунального хозяйства»</w:t>
      </w:r>
      <w:r>
        <w:rPr>
          <w:sz w:val="24"/>
          <w:szCs w:val="24"/>
          <w:vertAlign w:val="superscript"/>
        </w:rPr>
        <w:footnoteReference w:id="18"/>
      </w:r>
      <w:r>
        <w:rPr>
          <w:sz w:val="24"/>
          <w:szCs w:val="24"/>
        </w:rPr>
        <w:t xml:space="preserve">. </w:t>
      </w:r>
    </w:p>
    <w:p w:rsidR="00E85D42" w:rsidRDefault="008113B9">
      <w:pPr>
        <w:ind w:firstLine="709"/>
        <w:jc w:val="both"/>
        <w:rPr>
          <w:sz w:val="24"/>
          <w:szCs w:val="24"/>
        </w:rPr>
      </w:pPr>
      <w:r>
        <w:rPr>
          <w:sz w:val="24"/>
          <w:szCs w:val="24"/>
        </w:rPr>
        <w:t xml:space="preserve">Рассмотрим более подробно данные о значениях тарифов на питьевую воду (питьевое водоснабжение), на водоотведение и на тепловую </w:t>
      </w:r>
      <w:r>
        <w:rPr>
          <w:sz w:val="24"/>
          <w:szCs w:val="24"/>
        </w:rPr>
        <w:t>энергию (мощность), действующих на территории Республики Башкортостан.</w:t>
      </w:r>
    </w:p>
    <w:p w:rsidR="00E85D42" w:rsidRDefault="008113B9">
      <w:pPr>
        <w:ind w:firstLine="709"/>
        <w:jc w:val="both"/>
        <w:rPr>
          <w:sz w:val="24"/>
          <w:szCs w:val="24"/>
        </w:rPr>
      </w:pPr>
      <w:r>
        <w:rPr>
          <w:sz w:val="24"/>
          <w:szCs w:val="24"/>
        </w:rPr>
        <w:t>На рисунке 3.1.4.1.4 представлена информация о соотношении минимального и максимального размеров тарифа на питьевую воду по муниципальным образованиям республики.</w:t>
      </w:r>
    </w:p>
    <w:p w:rsidR="00E85D42" w:rsidRDefault="00E85D42">
      <w:pPr>
        <w:jc w:val="both"/>
        <w:rPr>
          <w:sz w:val="24"/>
          <w:szCs w:val="24"/>
        </w:rPr>
      </w:pPr>
    </w:p>
    <w:p w:rsidR="00E85D42" w:rsidRDefault="008113B9">
      <w:pPr>
        <w:jc w:val="both"/>
      </w:pPr>
      <w:r>
        <w:rPr>
          <w:noProof/>
          <w:sz w:val="24"/>
          <w:szCs w:val="24"/>
        </w:rPr>
        <w:drawing>
          <wp:inline distT="0" distB="0" distL="0" distR="0">
            <wp:extent cx="5939786" cy="3015618"/>
            <wp:effectExtent l="0" t="0" r="3814" b="0"/>
            <wp:docPr id="105" name="Рисунок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5939786" cy="3015618"/>
                    </a:xfrm>
                    <a:prstGeom prst="rect">
                      <a:avLst/>
                    </a:prstGeom>
                    <a:noFill/>
                    <a:ln>
                      <a:noFill/>
                      <a:prstDash/>
                    </a:ln>
                  </pic:spPr>
                </pic:pic>
              </a:graphicData>
            </a:graphic>
          </wp:inline>
        </w:drawing>
      </w:r>
    </w:p>
    <w:p w:rsidR="00E85D42" w:rsidRDefault="008113B9">
      <w:pPr>
        <w:jc w:val="center"/>
        <w:rPr>
          <w:i/>
          <w:sz w:val="24"/>
          <w:szCs w:val="24"/>
        </w:rPr>
      </w:pPr>
      <w:r>
        <w:rPr>
          <w:i/>
          <w:sz w:val="24"/>
          <w:szCs w:val="24"/>
        </w:rPr>
        <w:t>Рис.3.1.4.1.4 Миним</w:t>
      </w:r>
      <w:r>
        <w:rPr>
          <w:i/>
          <w:sz w:val="24"/>
          <w:szCs w:val="24"/>
        </w:rPr>
        <w:t>альный/максимальный размер тарифа на питьевую воду,</w:t>
      </w:r>
    </w:p>
    <w:p w:rsidR="00E85D42" w:rsidRDefault="008113B9">
      <w:pPr>
        <w:jc w:val="center"/>
        <w:rPr>
          <w:i/>
          <w:sz w:val="24"/>
          <w:szCs w:val="24"/>
        </w:rPr>
      </w:pPr>
      <w:r>
        <w:rPr>
          <w:i/>
          <w:sz w:val="24"/>
          <w:szCs w:val="24"/>
        </w:rPr>
        <w:t>р./кубический метр</w:t>
      </w:r>
    </w:p>
    <w:p w:rsidR="00E85D42" w:rsidRDefault="00E85D42">
      <w:pPr>
        <w:jc w:val="both"/>
        <w:rPr>
          <w:sz w:val="24"/>
          <w:szCs w:val="24"/>
        </w:rPr>
      </w:pPr>
    </w:p>
    <w:p w:rsidR="00E85D42" w:rsidRDefault="008113B9">
      <w:pPr>
        <w:ind w:firstLine="709"/>
        <w:jc w:val="both"/>
        <w:rPr>
          <w:sz w:val="24"/>
          <w:szCs w:val="24"/>
        </w:rPr>
      </w:pPr>
      <w:r>
        <w:rPr>
          <w:sz w:val="24"/>
          <w:szCs w:val="24"/>
        </w:rPr>
        <w:t xml:space="preserve">Размер данного тарифа в целом по республике варьируется от 3,79 р./кубический метр (установлен на основании постановления Государственного комитета РБ по тарифам  от 30.10.2017 N 219 </w:t>
      </w:r>
      <w:r>
        <w:rPr>
          <w:sz w:val="24"/>
          <w:szCs w:val="24"/>
        </w:rPr>
        <w:t>«О внесении изменений в Постановление Государственного комитета Республики Башкортостан по тарифам от 3 декабря 2015 г. N 436 «Об установлении тарифов на питьевую воду (питьевое водоснабжение), поставляемую государственным унитарным сельскохозяйственным пр</w:t>
      </w:r>
      <w:r>
        <w:rPr>
          <w:sz w:val="24"/>
          <w:szCs w:val="24"/>
        </w:rPr>
        <w:t>едприятием совхоз «Алексеевский» Республики Башкортостан потребителям муниципального района Уфимский район Республики Башкортостан») до 69,87 р./кубический метр – определен постановлением Государственного комитета РБ по тарифам от 20.12.2018 N 844 «О внесе</w:t>
      </w:r>
      <w:r>
        <w:rPr>
          <w:sz w:val="24"/>
          <w:szCs w:val="24"/>
        </w:rPr>
        <w:t>нии изменения в Постановление Государственного комитета Республики Башкортостан по тарифам от 20 ноября 2017 года N 414 «Об установлении тарифов на питьевую воду (питьевое водоснабжение), поставляемую обществом с ограниченной ответственностью «Сетевая комп</w:t>
      </w:r>
      <w:r>
        <w:rPr>
          <w:sz w:val="24"/>
          <w:szCs w:val="24"/>
        </w:rPr>
        <w:t>ания «Миловский парк» потребителям сельского поселения Миловский сельский совет муниципального района Уфимский район Республики Башкортостан».</w:t>
      </w:r>
    </w:p>
    <w:p w:rsidR="00E85D42" w:rsidRDefault="008113B9">
      <w:pPr>
        <w:ind w:firstLine="709"/>
        <w:jc w:val="both"/>
        <w:rPr>
          <w:sz w:val="24"/>
          <w:szCs w:val="24"/>
        </w:rPr>
      </w:pPr>
      <w:r>
        <w:rPr>
          <w:sz w:val="24"/>
          <w:szCs w:val="24"/>
        </w:rPr>
        <w:t>Сведения о минимальных и максимальных размерах тарифа на водоотведение по муниципальным образованиям Республики Б</w:t>
      </w:r>
      <w:r>
        <w:rPr>
          <w:sz w:val="24"/>
          <w:szCs w:val="24"/>
        </w:rPr>
        <w:t>ашкортостан, в которых приняты соответствующие нормативные документы, отражены на рисунке 3.1.4.1.5.</w:t>
      </w:r>
    </w:p>
    <w:p w:rsidR="00E85D42" w:rsidRDefault="008113B9">
      <w:pPr>
        <w:jc w:val="both"/>
      </w:pPr>
      <w:r>
        <w:rPr>
          <w:noProof/>
          <w:sz w:val="24"/>
          <w:szCs w:val="24"/>
        </w:rPr>
        <w:drawing>
          <wp:inline distT="0" distB="0" distL="0" distR="0">
            <wp:extent cx="5939786" cy="3532500"/>
            <wp:effectExtent l="0" t="0" r="0" b="0"/>
            <wp:docPr id="106"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E85D42" w:rsidRDefault="008113B9">
      <w:pPr>
        <w:jc w:val="center"/>
        <w:rPr>
          <w:i/>
          <w:sz w:val="24"/>
          <w:szCs w:val="24"/>
        </w:rPr>
      </w:pPr>
      <w:r>
        <w:rPr>
          <w:i/>
          <w:sz w:val="24"/>
          <w:szCs w:val="24"/>
        </w:rPr>
        <w:t xml:space="preserve">Рис.3.1.4.1.5 Минимальный/максимальный размер тарифа на водоотведение, </w:t>
      </w:r>
    </w:p>
    <w:p w:rsidR="00E85D42" w:rsidRDefault="008113B9">
      <w:pPr>
        <w:jc w:val="center"/>
        <w:rPr>
          <w:i/>
          <w:sz w:val="24"/>
          <w:szCs w:val="24"/>
        </w:rPr>
      </w:pPr>
      <w:r>
        <w:rPr>
          <w:i/>
          <w:sz w:val="24"/>
          <w:szCs w:val="24"/>
        </w:rPr>
        <w:t>р./кубический метр</w:t>
      </w:r>
    </w:p>
    <w:p w:rsidR="00E85D42" w:rsidRDefault="00E85D42">
      <w:pPr>
        <w:jc w:val="center"/>
        <w:rPr>
          <w:sz w:val="24"/>
          <w:szCs w:val="24"/>
        </w:rPr>
      </w:pPr>
    </w:p>
    <w:p w:rsidR="00E85D42" w:rsidRDefault="008113B9">
      <w:pPr>
        <w:ind w:firstLine="709"/>
        <w:jc w:val="both"/>
        <w:rPr>
          <w:sz w:val="24"/>
          <w:szCs w:val="24"/>
        </w:rPr>
      </w:pPr>
      <w:r>
        <w:rPr>
          <w:sz w:val="24"/>
          <w:szCs w:val="24"/>
        </w:rPr>
        <w:t>Наименьший по республике размер тарифа на водоотведение соста</w:t>
      </w:r>
      <w:r>
        <w:rPr>
          <w:sz w:val="24"/>
          <w:szCs w:val="24"/>
        </w:rPr>
        <w:t>вляет 6,96 р./кубический метр, установлен постановлением Государственного комитета РБ по тарифам от 17.12.2015 N 894 «Об установлении тарифов на водоотведение, оказываемое обществом с ограниченной ответственностью «ПромВодоКанал» потребителям муниципальног</w:t>
      </w:r>
      <w:r>
        <w:rPr>
          <w:sz w:val="24"/>
          <w:szCs w:val="24"/>
        </w:rPr>
        <w:t>о унитарного предприятия «Салаватводоканал» городского округа город Салават Республики Башкортостан»; наибольший размер данного вида тарифа установлен постановлением Государственного комитета РБ по тарифам от 06.12.2016 N 425 «Об установлении тарифов на во</w:t>
      </w:r>
      <w:r>
        <w:rPr>
          <w:sz w:val="24"/>
          <w:szCs w:val="24"/>
        </w:rPr>
        <w:t>доотведение, оказываемое муниципальным унитарным предприятием «Татышлинские электрические сети, жилье и благоустройство» сельского поселения Верхнетатышлинский сельсовет муниципального района Татышлинский район Республики Башкортостан потребителям муниципа</w:t>
      </w:r>
      <w:r>
        <w:rPr>
          <w:sz w:val="24"/>
          <w:szCs w:val="24"/>
        </w:rPr>
        <w:t>льного района Татышлинский район Республики Башкортостан» в размере 69,43 р./кубический метр.</w:t>
      </w:r>
    </w:p>
    <w:p w:rsidR="00E85D42" w:rsidRDefault="008113B9">
      <w:pPr>
        <w:ind w:firstLine="709"/>
        <w:jc w:val="both"/>
        <w:rPr>
          <w:sz w:val="24"/>
          <w:szCs w:val="24"/>
        </w:rPr>
      </w:pPr>
      <w:r>
        <w:rPr>
          <w:sz w:val="24"/>
          <w:szCs w:val="24"/>
        </w:rPr>
        <w:t>На рисунке 3.1.4.1.6 представлены данные о соотношении минимальных и максимальных размерах тарифа на тепловую энергию (мощность) в разрезе муниципальных образован</w:t>
      </w:r>
      <w:r>
        <w:rPr>
          <w:sz w:val="24"/>
          <w:szCs w:val="24"/>
        </w:rPr>
        <w:t>ий Республики Башкортостан, в которых действуют соответствующие нормативы.</w:t>
      </w:r>
    </w:p>
    <w:p w:rsidR="00E85D42" w:rsidRDefault="008113B9">
      <w:pPr>
        <w:jc w:val="both"/>
      </w:pPr>
      <w:r>
        <w:rPr>
          <w:noProof/>
          <w:sz w:val="24"/>
          <w:szCs w:val="24"/>
        </w:rPr>
        <w:drawing>
          <wp:inline distT="0" distB="0" distL="0" distR="0">
            <wp:extent cx="5629275" cy="3419471"/>
            <wp:effectExtent l="0" t="0" r="0" b="0"/>
            <wp:docPr id="107"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E85D42" w:rsidRDefault="008113B9">
      <w:pPr>
        <w:jc w:val="center"/>
        <w:rPr>
          <w:i/>
          <w:sz w:val="24"/>
          <w:szCs w:val="24"/>
        </w:rPr>
      </w:pPr>
      <w:r>
        <w:rPr>
          <w:i/>
          <w:sz w:val="24"/>
          <w:szCs w:val="24"/>
        </w:rPr>
        <w:t>Рис.3.1.4.1.6 Минимальный/максимальный размер тарифа на тепловую энергию (мощность), р./Гигакалория</w:t>
      </w:r>
    </w:p>
    <w:p w:rsidR="00E85D42" w:rsidRDefault="00E85D42">
      <w:pPr>
        <w:jc w:val="center"/>
        <w:rPr>
          <w:i/>
          <w:sz w:val="24"/>
          <w:szCs w:val="24"/>
        </w:rPr>
      </w:pPr>
    </w:p>
    <w:p w:rsidR="00E85D42" w:rsidRDefault="008113B9">
      <w:pPr>
        <w:ind w:firstLine="709"/>
        <w:jc w:val="both"/>
        <w:rPr>
          <w:sz w:val="24"/>
          <w:szCs w:val="24"/>
        </w:rPr>
      </w:pPr>
      <w:r>
        <w:rPr>
          <w:sz w:val="24"/>
          <w:szCs w:val="24"/>
        </w:rPr>
        <w:t xml:space="preserve">Минимум значения тарифа на тепловую энергию (мощность) – 67,5 р./Гигакалория, </w:t>
      </w:r>
      <w:r>
        <w:rPr>
          <w:sz w:val="24"/>
          <w:szCs w:val="24"/>
        </w:rPr>
        <w:t>согласно приведенным данным, установлен постановлением Государственного комитета РБ по тарифам от 17.12.2015 № 906 «Об установлении тарифов на услуги по передаче тепловой энергии, оказываемые обществом с ограниченной ответственностью «ЖилкомСервис» потреби</w:t>
      </w:r>
      <w:r>
        <w:rPr>
          <w:sz w:val="24"/>
          <w:szCs w:val="24"/>
        </w:rPr>
        <w:t>телям муниципального района Чекмагушевский район Республики Башкортостан»; максимальное значение данного вида тарифа – 3032,72 р./Гигакалория определено в соответствии с постановлением Государственного комитета РБ по тарифам от 19.11.2015 N 272 «Об установ</w:t>
      </w:r>
      <w:r>
        <w:rPr>
          <w:sz w:val="24"/>
          <w:szCs w:val="24"/>
        </w:rPr>
        <w:t>лении тарифов на тепловую энергию (мощность), поставляемую обществом с ограниченной ответственностью «Дубрава Плюс» потребителям муниципального района Белорецкий район Республики Башкортостан».</w:t>
      </w:r>
    </w:p>
    <w:p w:rsidR="00E85D42" w:rsidRDefault="008113B9">
      <w:pPr>
        <w:ind w:firstLine="709"/>
        <w:jc w:val="both"/>
        <w:rPr>
          <w:sz w:val="24"/>
          <w:szCs w:val="24"/>
        </w:rPr>
      </w:pPr>
      <w:r>
        <w:rPr>
          <w:sz w:val="24"/>
          <w:szCs w:val="24"/>
        </w:rPr>
        <w:t>Цены (тарифы) на электрическую энергию для населения и приравн</w:t>
      </w:r>
      <w:r>
        <w:rPr>
          <w:sz w:val="24"/>
          <w:szCs w:val="24"/>
        </w:rPr>
        <w:t>енным к нему категориям потребителей по Республике Башкортостан на 2018 год утверждены Постановлением Государственного комитета РБ по тарифам от 11.12.2017 N 560 и приведены в таблице 3.1.4.1.6.</w:t>
      </w:r>
    </w:p>
    <w:p w:rsidR="00E85D42" w:rsidRDefault="00E85D42">
      <w:pPr>
        <w:ind w:firstLine="709"/>
        <w:jc w:val="both"/>
        <w:rPr>
          <w:sz w:val="24"/>
          <w:szCs w:val="24"/>
        </w:rPr>
      </w:pPr>
    </w:p>
    <w:p w:rsidR="00E85D42" w:rsidRDefault="008113B9">
      <w:pPr>
        <w:ind w:firstLine="709"/>
        <w:jc w:val="center"/>
        <w:rPr>
          <w:sz w:val="24"/>
          <w:szCs w:val="24"/>
        </w:rPr>
      </w:pPr>
      <w:r>
        <w:rPr>
          <w:sz w:val="24"/>
          <w:szCs w:val="24"/>
        </w:rPr>
        <w:t>Цены (тарифы) на электрическую энергию для населения и прира</w:t>
      </w:r>
      <w:r>
        <w:rPr>
          <w:sz w:val="24"/>
          <w:szCs w:val="24"/>
        </w:rPr>
        <w:t>вненным к нему категориям потребителей по Республике Башкортостан на 2018 год</w:t>
      </w:r>
    </w:p>
    <w:p w:rsidR="00E85D42" w:rsidRDefault="008113B9">
      <w:pPr>
        <w:ind w:firstLine="709"/>
        <w:jc w:val="right"/>
        <w:rPr>
          <w:sz w:val="24"/>
          <w:szCs w:val="24"/>
        </w:rPr>
      </w:pPr>
      <w:r>
        <w:rPr>
          <w:sz w:val="24"/>
          <w:szCs w:val="24"/>
        </w:rPr>
        <w:t>Таблица3.1.4.1.6</w:t>
      </w:r>
    </w:p>
    <w:p w:rsidR="00E85D42" w:rsidRDefault="00E85D42">
      <w:pPr>
        <w:ind w:firstLine="709"/>
        <w:jc w:val="right"/>
        <w:rPr>
          <w:sz w:val="24"/>
          <w:szCs w:val="24"/>
        </w:rPr>
      </w:pPr>
    </w:p>
    <w:tbl>
      <w:tblPr>
        <w:tblW w:w="9570" w:type="dxa"/>
        <w:tblCellMar>
          <w:left w:w="10" w:type="dxa"/>
          <w:right w:w="10" w:type="dxa"/>
        </w:tblCellMar>
        <w:tblLook w:val="04A0" w:firstRow="1" w:lastRow="0" w:firstColumn="1" w:lastColumn="0" w:noHBand="0" w:noVBand="1"/>
      </w:tblPr>
      <w:tblGrid>
        <w:gridCol w:w="675"/>
        <w:gridCol w:w="4043"/>
        <w:gridCol w:w="1328"/>
        <w:gridCol w:w="1757"/>
        <w:gridCol w:w="1767"/>
      </w:tblGrid>
      <w:tr w:rsidR="00E85D42">
        <w:tblPrEx>
          <w:tblCellMar>
            <w:top w:w="0" w:type="dxa"/>
            <w:bottom w:w="0" w:type="dxa"/>
          </w:tblCellMar>
        </w:tblPrEx>
        <w:trPr>
          <w:trHeight w:val="615"/>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 п/п</w:t>
            </w:r>
          </w:p>
        </w:tc>
        <w:tc>
          <w:tcPr>
            <w:tcW w:w="40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Показатель (группы потребителей)</w:t>
            </w:r>
          </w:p>
        </w:tc>
        <w:tc>
          <w:tcPr>
            <w:tcW w:w="13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Единица измерения</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с 01.01.2018 по 30.06.2018</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с 01.07.2018 по 31.12.2018</w:t>
            </w:r>
          </w:p>
        </w:tc>
      </w:tr>
      <w:tr w:rsidR="00E85D42">
        <w:tblPrEx>
          <w:tblCellMar>
            <w:top w:w="0" w:type="dxa"/>
            <w:bottom w:w="0" w:type="dxa"/>
          </w:tblCellMar>
        </w:tblPrEx>
        <w:trPr>
          <w:trHeight w:val="525"/>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E85D42">
            <w:pPr>
              <w:jc w:val="both"/>
              <w:rPr>
                <w:sz w:val="24"/>
                <w:szCs w:val="24"/>
              </w:rPr>
            </w:pPr>
          </w:p>
        </w:tc>
        <w:tc>
          <w:tcPr>
            <w:tcW w:w="40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both"/>
              <w:rPr>
                <w:sz w:val="24"/>
                <w:szCs w:val="24"/>
              </w:rPr>
            </w:pPr>
          </w:p>
        </w:tc>
        <w:tc>
          <w:tcPr>
            <w:tcW w:w="13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both"/>
              <w:rPr>
                <w:sz w:val="24"/>
                <w:szCs w:val="24"/>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Цена (тариф)</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Цена (тариф)</w:t>
            </w:r>
          </w:p>
        </w:tc>
      </w:tr>
      <w:tr w:rsidR="00E85D42">
        <w:tblPrEx>
          <w:tblCellMar>
            <w:top w:w="0" w:type="dxa"/>
            <w:bottom w:w="0" w:type="dxa"/>
          </w:tblCellMar>
        </w:tblPrEx>
        <w:trPr>
          <w:trHeight w:val="1110"/>
        </w:trPr>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1</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Население и </w:t>
            </w:r>
            <w:r>
              <w:rPr>
                <w:sz w:val="24"/>
                <w:szCs w:val="24"/>
              </w:rPr>
              <w:t>приравненные к ним, за исключением населения и потребителей, указанных в пунктах 2 и 3 (тарифы указываются с учетом НДС):</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руб./кВт*ч</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2,87</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3,01</w:t>
            </w:r>
          </w:p>
          <w:p w:rsidR="00E85D42" w:rsidRDefault="00E85D42">
            <w:pPr>
              <w:jc w:val="center"/>
              <w:rPr>
                <w:sz w:val="24"/>
                <w:szCs w:val="24"/>
              </w:rPr>
            </w:pPr>
          </w:p>
        </w:tc>
      </w:tr>
      <w:tr w:rsidR="00E85D42">
        <w:tblPrEx>
          <w:tblCellMar>
            <w:top w:w="0" w:type="dxa"/>
            <w:bottom w:w="0" w:type="dxa"/>
          </w:tblCellMar>
        </w:tblPrEx>
        <w:trPr>
          <w:trHeight w:val="2070"/>
        </w:trPr>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2</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Население, проживающее в городских населенных пунктах в домах, оборудованных в установленном порядке </w:t>
            </w:r>
            <w:r>
              <w:rPr>
                <w:sz w:val="24"/>
                <w:szCs w:val="24"/>
              </w:rPr>
              <w:t>стационарными электроплитами и (или) электроотопительными установками, и приравненные к ним (тарифы указываются с учетом НДС):</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руб./кВт*ч</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2,01</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2,11</w:t>
            </w:r>
          </w:p>
        </w:tc>
      </w:tr>
      <w:tr w:rsidR="00E85D42">
        <w:tblPrEx>
          <w:tblCellMar>
            <w:top w:w="0" w:type="dxa"/>
            <w:bottom w:w="0" w:type="dxa"/>
          </w:tblCellMar>
        </w:tblPrEx>
        <w:trPr>
          <w:trHeight w:val="1080"/>
        </w:trPr>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3</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Население, проживающее в сельских населенных пунктах, и приравненные к ним (тарифы указываются с учетом </w:t>
            </w:r>
            <w:r>
              <w:rPr>
                <w:sz w:val="24"/>
                <w:szCs w:val="24"/>
              </w:rPr>
              <w:t>НДС):</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руб./кВт*ч</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2,01</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2,11</w:t>
            </w:r>
          </w:p>
        </w:tc>
      </w:tr>
      <w:tr w:rsidR="00E85D42">
        <w:tblPrEx>
          <w:tblCellMar>
            <w:top w:w="0" w:type="dxa"/>
            <w:bottom w:w="0" w:type="dxa"/>
          </w:tblCellMar>
        </w:tblPrEx>
        <w:trPr>
          <w:trHeight w:val="24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4</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Садоводческие, огороднические или дачные некоммерческие объединения граждан - некоммерческие организации, учрежденные гражданами на добровольных началах для содействия ее членам в решении общих социально-хозяйственных задач </w:t>
            </w:r>
            <w:r>
              <w:rPr>
                <w:sz w:val="24"/>
                <w:szCs w:val="24"/>
              </w:rPr>
              <w:t>ведения садоводства, огородничества и дачного хозяйства.</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руб./кВт*ч</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2,01</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2,11</w:t>
            </w:r>
          </w:p>
        </w:tc>
      </w:tr>
      <w:tr w:rsidR="00E85D42">
        <w:tblPrEx>
          <w:tblCellMar>
            <w:top w:w="0" w:type="dxa"/>
            <w:bottom w:w="0" w:type="dxa"/>
          </w:tblCellMar>
        </w:tblPrEx>
        <w:trPr>
          <w:trHeight w:val="1755"/>
        </w:trPr>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5</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w:t>
            </w:r>
            <w:r>
              <w:rPr>
                <w:sz w:val="24"/>
                <w:szCs w:val="24"/>
              </w:rPr>
              <w:t>электрической энергии для указанных помещений.</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руб./кВт*ч</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2,87</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3,01</w:t>
            </w:r>
          </w:p>
        </w:tc>
      </w:tr>
      <w:tr w:rsidR="00E85D42">
        <w:tblPrEx>
          <w:tblCellMar>
            <w:top w:w="0" w:type="dxa"/>
            <w:bottom w:w="0" w:type="dxa"/>
          </w:tblCellMar>
        </w:tblPrEx>
        <w:trPr>
          <w:trHeight w:val="795"/>
        </w:trPr>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6</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Содержащиеся за счет прихожан религиозные организации</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руб./кВт*ч</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2,87</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3,01</w:t>
            </w:r>
          </w:p>
        </w:tc>
      </w:tr>
      <w:tr w:rsidR="00E85D42">
        <w:tblPrEx>
          <w:tblCellMar>
            <w:top w:w="0" w:type="dxa"/>
            <w:bottom w:w="0" w:type="dxa"/>
          </w:tblCellMar>
        </w:tblPrEx>
        <w:trPr>
          <w:trHeight w:val="1260"/>
        </w:trPr>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rPr>
                <w:sz w:val="24"/>
                <w:szCs w:val="24"/>
              </w:rPr>
            </w:pPr>
            <w:r>
              <w:rPr>
                <w:sz w:val="24"/>
                <w:szCs w:val="24"/>
              </w:rPr>
              <w:t>7</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Объединения граждан, приобретающих электрическую энергию (мощность) для использования в принадлежащих им </w:t>
            </w:r>
            <w:r>
              <w:rPr>
                <w:sz w:val="24"/>
                <w:szCs w:val="24"/>
              </w:rPr>
              <w:t>хозяйственных постройках (погреба, сараи).</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руб./кВт*ч</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2,87</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3,01</w:t>
            </w:r>
          </w:p>
        </w:tc>
      </w:tr>
    </w:tbl>
    <w:p w:rsidR="00E85D42" w:rsidRDefault="00E85D42">
      <w:pPr>
        <w:ind w:firstLine="709"/>
        <w:jc w:val="both"/>
        <w:rPr>
          <w:sz w:val="24"/>
          <w:szCs w:val="24"/>
        </w:rPr>
      </w:pPr>
    </w:p>
    <w:p w:rsidR="00E85D42" w:rsidRDefault="008113B9">
      <w:pPr>
        <w:ind w:firstLine="709"/>
        <w:jc w:val="both"/>
        <w:rPr>
          <w:sz w:val="24"/>
          <w:szCs w:val="24"/>
        </w:rPr>
      </w:pPr>
      <w:r>
        <w:rPr>
          <w:sz w:val="24"/>
          <w:szCs w:val="24"/>
        </w:rPr>
        <w:t xml:space="preserve">Постановлениями Государственного комитета РБ по тарифам от 28.06.2017 N 96 и от 25.06.2018 N 108 установлены розничные цен на газ, реализуемый обществом с ограниченной ответственностью </w:t>
      </w:r>
      <w:r>
        <w:rPr>
          <w:sz w:val="24"/>
          <w:szCs w:val="24"/>
        </w:rPr>
        <w:t>«Газпром межрегионгаз Уфа» населению Республики Башкортостан, на период с 1 июля 2017 года до 30 июня 2018 года и с 1 июля 2018 года до 30 июня 2019 года (таблица 3.1.4.1.7).</w:t>
      </w:r>
    </w:p>
    <w:p w:rsidR="00E85D42" w:rsidRDefault="00E85D42">
      <w:pPr>
        <w:jc w:val="both"/>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8113B9">
      <w:pPr>
        <w:jc w:val="center"/>
        <w:rPr>
          <w:sz w:val="24"/>
          <w:szCs w:val="24"/>
        </w:rPr>
      </w:pPr>
      <w:r>
        <w:rPr>
          <w:sz w:val="24"/>
          <w:szCs w:val="24"/>
        </w:rPr>
        <w:t>Розничные цены на газ, реализуемый обществом с ограниченной ответственность</w:t>
      </w:r>
      <w:r>
        <w:rPr>
          <w:sz w:val="24"/>
          <w:szCs w:val="24"/>
        </w:rPr>
        <w:t>ю «Газпром межрегионгаз Уфа» населению</w:t>
      </w:r>
    </w:p>
    <w:p w:rsidR="00E85D42" w:rsidRDefault="008113B9">
      <w:pPr>
        <w:jc w:val="center"/>
        <w:rPr>
          <w:sz w:val="24"/>
          <w:szCs w:val="24"/>
        </w:rPr>
      </w:pPr>
      <w:r>
        <w:rPr>
          <w:sz w:val="24"/>
          <w:szCs w:val="24"/>
        </w:rPr>
        <w:t>Республики Башкортостан</w:t>
      </w:r>
    </w:p>
    <w:p w:rsidR="00E85D42" w:rsidRDefault="008113B9">
      <w:pPr>
        <w:ind w:firstLine="709"/>
        <w:jc w:val="right"/>
        <w:rPr>
          <w:sz w:val="24"/>
          <w:szCs w:val="24"/>
        </w:rPr>
      </w:pPr>
      <w:r>
        <w:rPr>
          <w:sz w:val="24"/>
          <w:szCs w:val="24"/>
        </w:rPr>
        <w:t>Таблица 3.1.4.1.7</w:t>
      </w:r>
    </w:p>
    <w:tbl>
      <w:tblPr>
        <w:tblW w:w="9570" w:type="dxa"/>
        <w:tblCellMar>
          <w:left w:w="10" w:type="dxa"/>
          <w:right w:w="10" w:type="dxa"/>
        </w:tblCellMar>
        <w:tblLook w:val="04A0" w:firstRow="1" w:lastRow="0" w:firstColumn="1" w:lastColumn="0" w:noHBand="0" w:noVBand="1"/>
      </w:tblPr>
      <w:tblGrid>
        <w:gridCol w:w="717"/>
        <w:gridCol w:w="4526"/>
        <w:gridCol w:w="2163"/>
        <w:gridCol w:w="2164"/>
      </w:tblGrid>
      <w:tr w:rsidR="00E85D42">
        <w:tblPrEx>
          <w:tblCellMar>
            <w:top w:w="0" w:type="dxa"/>
            <w:bottom w:w="0" w:type="dxa"/>
          </w:tblCellMar>
        </w:tblPrEx>
        <w:trPr>
          <w:trHeight w:val="579"/>
        </w:trPr>
        <w:tc>
          <w:tcPr>
            <w:tcW w:w="7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 п/п</w:t>
            </w:r>
          </w:p>
        </w:tc>
        <w:tc>
          <w:tcPr>
            <w:tcW w:w="4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Направления использования газа населением</w:t>
            </w:r>
          </w:p>
        </w:tc>
        <w:tc>
          <w:tcPr>
            <w:tcW w:w="43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Розничные цены на газ с учетом НДС</w:t>
            </w:r>
          </w:p>
        </w:tc>
      </w:tr>
      <w:tr w:rsidR="00E85D42">
        <w:tblPrEx>
          <w:tblCellMar>
            <w:top w:w="0" w:type="dxa"/>
            <w:bottom w:w="0" w:type="dxa"/>
          </w:tblCellMar>
        </w:tblPrEx>
        <w:trPr>
          <w:trHeight w:val="705"/>
        </w:trPr>
        <w:tc>
          <w:tcPr>
            <w:tcW w:w="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center"/>
              <w:rPr>
                <w:sz w:val="24"/>
                <w:szCs w:val="24"/>
              </w:rPr>
            </w:pPr>
          </w:p>
        </w:tc>
        <w:tc>
          <w:tcPr>
            <w:tcW w:w="4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center"/>
              <w:rPr>
                <w:sz w:val="24"/>
                <w:szCs w:val="24"/>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с 1 июля 2017 года до 30 июня 2018 года</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с 1 июля 2018 года до 30 июня 2019 года</w:t>
            </w:r>
          </w:p>
        </w:tc>
      </w:tr>
      <w:tr w:rsidR="00E85D42">
        <w:tblPrEx>
          <w:tblCellMar>
            <w:top w:w="0" w:type="dxa"/>
            <w:bottom w:w="0" w:type="dxa"/>
          </w:tblCellMar>
        </w:tblPrEx>
        <w:trPr>
          <w:trHeight w:val="1215"/>
        </w:trPr>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1</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Приготовление пищи и нагрев воды с использованием газовой плиты (в отсутствие других направлений использования газа)</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pPr>
            <w:r>
              <w:rPr>
                <w:sz w:val="24"/>
                <w:szCs w:val="24"/>
              </w:rPr>
              <w:t>6,75 рублей за 1 м</w:t>
            </w:r>
            <w:r>
              <w:rPr>
                <w:sz w:val="24"/>
                <w:szCs w:val="24"/>
                <w:vertAlign w:val="superscript"/>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pPr>
            <w:r>
              <w:rPr>
                <w:sz w:val="24"/>
                <w:szCs w:val="24"/>
              </w:rPr>
              <w:t>7,10 рублей за 1 м</w:t>
            </w:r>
            <w:r>
              <w:rPr>
                <w:sz w:val="24"/>
                <w:szCs w:val="24"/>
                <w:vertAlign w:val="superscript"/>
              </w:rPr>
              <w:t>3</w:t>
            </w:r>
          </w:p>
        </w:tc>
      </w:tr>
      <w:tr w:rsidR="00E85D42">
        <w:tblPrEx>
          <w:tblCellMar>
            <w:top w:w="0" w:type="dxa"/>
            <w:bottom w:w="0" w:type="dxa"/>
          </w:tblCellMar>
        </w:tblPrEx>
        <w:trPr>
          <w:trHeight w:val="1125"/>
        </w:trPr>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2</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Нагрев воды с использованием газового водонагревателя при отсутствии центрального горячего </w:t>
            </w:r>
            <w:r>
              <w:rPr>
                <w:sz w:val="24"/>
                <w:szCs w:val="24"/>
              </w:rPr>
              <w:t>водоснабжения (в отсутствие других направлений использования газа)</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pPr>
            <w:r>
              <w:rPr>
                <w:sz w:val="24"/>
                <w:szCs w:val="24"/>
              </w:rPr>
              <w:t>6,75 рублей за 1 м</w:t>
            </w:r>
            <w:r>
              <w:rPr>
                <w:sz w:val="24"/>
                <w:szCs w:val="24"/>
                <w:vertAlign w:val="superscript"/>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pPr>
            <w:r>
              <w:rPr>
                <w:sz w:val="24"/>
                <w:szCs w:val="24"/>
              </w:rPr>
              <w:t>7,10 рублей за 1 м</w:t>
            </w:r>
            <w:r>
              <w:rPr>
                <w:sz w:val="24"/>
                <w:szCs w:val="24"/>
                <w:vertAlign w:val="superscript"/>
              </w:rPr>
              <w:t>3</w:t>
            </w:r>
          </w:p>
        </w:tc>
      </w:tr>
      <w:tr w:rsidR="00E85D42">
        <w:tblPrEx>
          <w:tblCellMar>
            <w:top w:w="0" w:type="dxa"/>
            <w:bottom w:w="0" w:type="dxa"/>
          </w:tblCellMar>
        </w:tblPrEx>
        <w:trPr>
          <w:trHeight w:val="1155"/>
        </w:trPr>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3</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Приготовление пищи и нагрев воды с использованием газовой плиты и нагрев воды с использованием газового водонагревателя при отсутствии </w:t>
            </w:r>
            <w:r>
              <w:rPr>
                <w:sz w:val="24"/>
                <w:szCs w:val="24"/>
              </w:rPr>
              <w:t>центрального горячего водоснабжения (в отсутствие других направлений использования газа)</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pPr>
            <w:r>
              <w:rPr>
                <w:sz w:val="24"/>
                <w:szCs w:val="24"/>
              </w:rPr>
              <w:t>6,30 рублей за 1 м</w:t>
            </w:r>
            <w:r>
              <w:rPr>
                <w:sz w:val="24"/>
                <w:szCs w:val="24"/>
                <w:vertAlign w:val="superscript"/>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pPr>
            <w:r>
              <w:rPr>
                <w:sz w:val="24"/>
                <w:szCs w:val="24"/>
              </w:rPr>
              <w:t>6,62 рублей за 1 м</w:t>
            </w:r>
            <w:r>
              <w:rPr>
                <w:sz w:val="24"/>
                <w:szCs w:val="24"/>
                <w:vertAlign w:val="superscript"/>
              </w:rPr>
              <w:t>3</w:t>
            </w:r>
          </w:p>
        </w:tc>
      </w:tr>
      <w:tr w:rsidR="00E85D42">
        <w:tblPrEx>
          <w:tblCellMar>
            <w:top w:w="0" w:type="dxa"/>
            <w:bottom w:w="0" w:type="dxa"/>
          </w:tblCellMar>
        </w:tblPrEx>
        <w:trPr>
          <w:trHeight w:val="1560"/>
        </w:trPr>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4</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xml:space="preserve">Отопление или отопление с одновременным использованием газа на другие цели (кроме отопления и (или) выработки электрической </w:t>
            </w:r>
            <w:r>
              <w:rPr>
                <w:sz w:val="24"/>
                <w:szCs w:val="24"/>
              </w:rPr>
              <w:t>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pPr>
            <w:r>
              <w:rPr>
                <w:sz w:val="24"/>
                <w:szCs w:val="24"/>
              </w:rPr>
              <w:t>5 188,79 рублей за 1000 м</w:t>
            </w:r>
            <w:r>
              <w:rPr>
                <w:sz w:val="24"/>
                <w:szCs w:val="24"/>
                <w:vertAlign w:val="superscript"/>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pPr>
            <w:r>
              <w:rPr>
                <w:sz w:val="24"/>
                <w:szCs w:val="24"/>
              </w:rPr>
              <w:t>5 456,14 рублей за 1000 м</w:t>
            </w:r>
            <w:r>
              <w:rPr>
                <w:sz w:val="24"/>
                <w:szCs w:val="24"/>
                <w:vertAlign w:val="superscript"/>
              </w:rPr>
              <w:t>3</w:t>
            </w:r>
          </w:p>
        </w:tc>
      </w:tr>
      <w:tr w:rsidR="00E85D42">
        <w:tblPrEx>
          <w:tblCellMar>
            <w:top w:w="0" w:type="dxa"/>
            <w:bottom w:w="0" w:type="dxa"/>
          </w:tblCellMar>
        </w:tblPrEx>
        <w:trPr>
          <w:trHeight w:val="1860"/>
        </w:trPr>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5</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pPr>
            <w:r>
              <w:rPr>
                <w:sz w:val="24"/>
                <w:szCs w:val="24"/>
              </w:rPr>
              <w:t xml:space="preserve">Отопление и (или) выработка </w:t>
            </w:r>
            <w:r>
              <w:rPr>
                <w:sz w:val="24"/>
                <w:szCs w:val="24"/>
              </w:rPr>
              <w:t>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с годовым объемом потребления газа до 10 тыс. м</w:t>
            </w:r>
            <w:r>
              <w:rPr>
                <w:sz w:val="24"/>
                <w:szCs w:val="24"/>
                <w:vertAlign w:val="superscript"/>
              </w:rPr>
              <w:t>3</w:t>
            </w:r>
            <w:r>
              <w:rPr>
                <w:sz w:val="24"/>
                <w:szCs w:val="24"/>
              </w:rPr>
              <w:t xml:space="preserve"> включительно</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pPr>
            <w:r>
              <w:rPr>
                <w:sz w:val="24"/>
                <w:szCs w:val="24"/>
              </w:rPr>
              <w:t xml:space="preserve">5 188,79 рублей </w:t>
            </w:r>
            <w:r>
              <w:rPr>
                <w:sz w:val="24"/>
                <w:szCs w:val="24"/>
              </w:rPr>
              <w:t>за 1000 м</w:t>
            </w:r>
            <w:r>
              <w:rPr>
                <w:sz w:val="24"/>
                <w:szCs w:val="24"/>
                <w:vertAlign w:val="superscript"/>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pPr>
            <w:r>
              <w:rPr>
                <w:sz w:val="24"/>
                <w:szCs w:val="24"/>
              </w:rPr>
              <w:t>5 456,14 рублей за 1000 м</w:t>
            </w:r>
            <w:r>
              <w:rPr>
                <w:sz w:val="24"/>
                <w:szCs w:val="24"/>
                <w:vertAlign w:val="superscript"/>
              </w:rPr>
              <w:t>3</w:t>
            </w:r>
          </w:p>
        </w:tc>
      </w:tr>
    </w:tbl>
    <w:p w:rsidR="00E85D42" w:rsidRDefault="008113B9">
      <w:pPr>
        <w:ind w:firstLine="709"/>
        <w:jc w:val="both"/>
        <w:rPr>
          <w:sz w:val="24"/>
          <w:szCs w:val="24"/>
        </w:rPr>
      </w:pPr>
      <w:r>
        <w:rPr>
          <w:sz w:val="24"/>
          <w:szCs w:val="24"/>
        </w:rPr>
        <w:t>В целях анализа затрат на подключение к сетям инженерно-технического обеспечения проведен мониторинг нормативных документов, утверждающих соответствующие тарифы.</w:t>
      </w:r>
    </w:p>
    <w:p w:rsidR="00E85D42" w:rsidRDefault="008113B9">
      <w:pPr>
        <w:ind w:firstLine="709"/>
        <w:jc w:val="both"/>
        <w:rPr>
          <w:sz w:val="24"/>
          <w:szCs w:val="24"/>
        </w:rPr>
      </w:pPr>
      <w:r>
        <w:rPr>
          <w:sz w:val="24"/>
          <w:szCs w:val="24"/>
        </w:rPr>
        <w:t xml:space="preserve">Сведения о тарифах на подключение к централизованным </w:t>
      </w:r>
      <w:r>
        <w:rPr>
          <w:sz w:val="24"/>
          <w:szCs w:val="24"/>
        </w:rPr>
        <w:t>системам водоотведения в разрезе муниципальных образований Республики Башкортостан, на территории которых утвержден данный вид тарифа, приведены в таблице 3.1.4.1.8 и на рисунке Рис.3.1.4.1.7</w:t>
      </w:r>
    </w:p>
    <w:p w:rsidR="00E85D42" w:rsidRDefault="00E85D42">
      <w:pPr>
        <w:ind w:firstLine="709"/>
        <w:jc w:val="both"/>
        <w:rPr>
          <w:sz w:val="24"/>
          <w:szCs w:val="24"/>
        </w:rPr>
      </w:pPr>
    </w:p>
    <w:p w:rsidR="00E85D42" w:rsidRDefault="00E85D42">
      <w:pPr>
        <w:jc w:val="center"/>
        <w:rPr>
          <w:sz w:val="24"/>
          <w:szCs w:val="24"/>
        </w:rPr>
      </w:pPr>
    </w:p>
    <w:p w:rsidR="00E85D42" w:rsidRDefault="00E85D42">
      <w:pPr>
        <w:jc w:val="center"/>
        <w:rPr>
          <w:sz w:val="24"/>
          <w:szCs w:val="24"/>
        </w:rPr>
      </w:pPr>
    </w:p>
    <w:p w:rsidR="00E85D42" w:rsidRDefault="008113B9">
      <w:pPr>
        <w:jc w:val="center"/>
        <w:rPr>
          <w:sz w:val="24"/>
          <w:szCs w:val="24"/>
        </w:rPr>
      </w:pPr>
      <w:r>
        <w:rPr>
          <w:sz w:val="24"/>
          <w:szCs w:val="24"/>
        </w:rPr>
        <w:t>Тарифы на подключение (технологическое присоединение)</w:t>
      </w:r>
    </w:p>
    <w:p w:rsidR="00E85D42" w:rsidRDefault="008113B9">
      <w:pPr>
        <w:jc w:val="center"/>
        <w:rPr>
          <w:sz w:val="24"/>
          <w:szCs w:val="24"/>
        </w:rPr>
      </w:pPr>
      <w:r>
        <w:rPr>
          <w:sz w:val="24"/>
          <w:szCs w:val="24"/>
        </w:rPr>
        <w:t>к центр</w:t>
      </w:r>
      <w:r>
        <w:rPr>
          <w:sz w:val="24"/>
          <w:szCs w:val="24"/>
        </w:rPr>
        <w:t>ализованной системе водоотведения</w:t>
      </w:r>
    </w:p>
    <w:p w:rsidR="00E85D42" w:rsidRDefault="008113B9">
      <w:pPr>
        <w:ind w:firstLine="709"/>
        <w:jc w:val="right"/>
        <w:rPr>
          <w:sz w:val="24"/>
          <w:szCs w:val="24"/>
        </w:rPr>
      </w:pPr>
      <w:r>
        <w:rPr>
          <w:sz w:val="24"/>
          <w:szCs w:val="24"/>
        </w:rPr>
        <w:t>Таблица 3.1.4.1.8</w:t>
      </w:r>
    </w:p>
    <w:tbl>
      <w:tblPr>
        <w:tblW w:w="9606" w:type="dxa"/>
        <w:tblCellMar>
          <w:left w:w="10" w:type="dxa"/>
          <w:right w:w="10" w:type="dxa"/>
        </w:tblCellMar>
        <w:tblLook w:val="04A0" w:firstRow="1" w:lastRow="0" w:firstColumn="1" w:lastColumn="0" w:noHBand="0" w:noVBand="1"/>
      </w:tblPr>
      <w:tblGrid>
        <w:gridCol w:w="4219"/>
        <w:gridCol w:w="5387"/>
      </w:tblGrid>
      <w:tr w:rsidR="00E85D42">
        <w:tblPrEx>
          <w:tblCellMar>
            <w:top w:w="0" w:type="dxa"/>
            <w:bottom w:w="0" w:type="dxa"/>
          </w:tblCellMar>
        </w:tblPrEx>
        <w:trPr>
          <w:trHeight w:val="600"/>
        </w:trPr>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Наименование муниципального образования</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Базовая ставка тарифа на протяженность сетей, тыс. руб./км</w:t>
            </w:r>
          </w:p>
        </w:tc>
      </w:tr>
      <w:tr w:rsidR="00E85D42">
        <w:tblPrEx>
          <w:tblCellMar>
            <w:top w:w="0" w:type="dxa"/>
            <w:bottom w:w="0" w:type="dxa"/>
          </w:tblCellMar>
        </w:tblPrEx>
        <w:trPr>
          <w:trHeight w:val="300"/>
        </w:trPr>
        <w:tc>
          <w:tcPr>
            <w:tcW w:w="4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Белокатайский район</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6056,24</w:t>
            </w:r>
          </w:p>
        </w:tc>
      </w:tr>
      <w:tr w:rsidR="00E85D42">
        <w:tblPrEx>
          <w:tblCellMar>
            <w:top w:w="0" w:type="dxa"/>
            <w:bottom w:w="0" w:type="dxa"/>
          </w:tblCellMar>
        </w:tblPrEx>
        <w:trPr>
          <w:trHeight w:val="300"/>
        </w:trPr>
        <w:tc>
          <w:tcPr>
            <w:tcW w:w="4219" w:type="dxa"/>
            <w:tcBorders>
              <w:top w:val="single" w:sz="4" w:space="0" w:color="000000"/>
              <w:left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rPr>
                <w:color w:val="000000"/>
                <w:sz w:val="24"/>
                <w:szCs w:val="24"/>
              </w:rPr>
            </w:pPr>
            <w:r>
              <w:rPr>
                <w:color w:val="000000"/>
                <w:sz w:val="24"/>
                <w:szCs w:val="24"/>
              </w:rPr>
              <w:t>Ишимбайский район</w:t>
            </w:r>
          </w:p>
        </w:tc>
        <w:tc>
          <w:tcPr>
            <w:tcW w:w="538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7661,08</w:t>
            </w:r>
          </w:p>
        </w:tc>
      </w:tr>
      <w:tr w:rsidR="00E85D42">
        <w:tblPrEx>
          <w:tblCellMar>
            <w:top w:w="0" w:type="dxa"/>
            <w:bottom w:w="0" w:type="dxa"/>
          </w:tblCellMar>
        </w:tblPrEx>
        <w:trPr>
          <w:trHeight w:val="300"/>
        </w:trPr>
        <w:tc>
          <w:tcPr>
            <w:tcW w:w="4219" w:type="dxa"/>
            <w:tcBorders>
              <w:top w:val="single" w:sz="4" w:space="0" w:color="000000"/>
              <w:left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Калтасинский район</w:t>
            </w:r>
          </w:p>
        </w:tc>
        <w:tc>
          <w:tcPr>
            <w:tcW w:w="538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5149,42</w:t>
            </w:r>
          </w:p>
        </w:tc>
      </w:tr>
      <w:tr w:rsidR="00E85D42">
        <w:tblPrEx>
          <w:tblCellMar>
            <w:top w:w="0" w:type="dxa"/>
            <w:bottom w:w="0" w:type="dxa"/>
          </w:tblCellMar>
        </w:tblPrEx>
        <w:trPr>
          <w:trHeight w:val="300"/>
        </w:trPr>
        <w:tc>
          <w:tcPr>
            <w:tcW w:w="4219" w:type="dxa"/>
            <w:tcBorders>
              <w:top w:val="single" w:sz="4" w:space="0" w:color="000000"/>
              <w:left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Мелеузовский район</w:t>
            </w:r>
          </w:p>
        </w:tc>
        <w:tc>
          <w:tcPr>
            <w:tcW w:w="538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7166,41</w:t>
            </w:r>
          </w:p>
        </w:tc>
      </w:tr>
      <w:tr w:rsidR="00E85D42">
        <w:tblPrEx>
          <w:tblCellMar>
            <w:top w:w="0" w:type="dxa"/>
            <w:bottom w:w="0" w:type="dxa"/>
          </w:tblCellMar>
        </w:tblPrEx>
        <w:trPr>
          <w:trHeight w:val="300"/>
        </w:trPr>
        <w:tc>
          <w:tcPr>
            <w:tcW w:w="4219" w:type="dxa"/>
            <w:tcBorders>
              <w:top w:val="single" w:sz="4" w:space="0" w:color="000000"/>
              <w:left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Туймазинский район</w:t>
            </w:r>
          </w:p>
        </w:tc>
        <w:tc>
          <w:tcPr>
            <w:tcW w:w="538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6864,66</w:t>
            </w:r>
          </w:p>
        </w:tc>
      </w:tr>
      <w:tr w:rsidR="00E85D42">
        <w:tblPrEx>
          <w:tblCellMar>
            <w:top w:w="0" w:type="dxa"/>
            <w:bottom w:w="0" w:type="dxa"/>
          </w:tblCellMar>
        </w:tblPrEx>
        <w:trPr>
          <w:trHeight w:val="300"/>
        </w:trPr>
        <w:tc>
          <w:tcPr>
            <w:tcW w:w="4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Учалинский район</w:t>
            </w:r>
          </w:p>
        </w:tc>
        <w:tc>
          <w:tcPr>
            <w:tcW w:w="538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4086,99</w:t>
            </w:r>
          </w:p>
        </w:tc>
      </w:tr>
      <w:tr w:rsidR="00E85D42">
        <w:tblPrEx>
          <w:tblCellMar>
            <w:top w:w="0" w:type="dxa"/>
            <w:bottom w:w="0" w:type="dxa"/>
          </w:tblCellMar>
        </w:tblPrEx>
        <w:trPr>
          <w:trHeight w:val="300"/>
        </w:trPr>
        <w:tc>
          <w:tcPr>
            <w:tcW w:w="4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Янаульский район</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4788,37</w:t>
            </w:r>
          </w:p>
        </w:tc>
      </w:tr>
      <w:tr w:rsidR="00E85D42">
        <w:tblPrEx>
          <w:tblCellMar>
            <w:top w:w="0" w:type="dxa"/>
            <w:bottom w:w="0" w:type="dxa"/>
          </w:tblCellMar>
        </w:tblPrEx>
        <w:trPr>
          <w:trHeight w:val="300"/>
        </w:trPr>
        <w:tc>
          <w:tcPr>
            <w:tcW w:w="4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г. Агидель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5766,92</w:t>
            </w:r>
          </w:p>
        </w:tc>
      </w:tr>
      <w:tr w:rsidR="00E85D42">
        <w:tblPrEx>
          <w:tblCellMar>
            <w:top w:w="0" w:type="dxa"/>
            <w:bottom w:w="0" w:type="dxa"/>
          </w:tblCellMar>
        </w:tblPrEx>
        <w:trPr>
          <w:trHeight w:val="300"/>
        </w:trPr>
        <w:tc>
          <w:tcPr>
            <w:tcW w:w="4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г. Кумертау</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4221,01</w:t>
            </w:r>
          </w:p>
        </w:tc>
      </w:tr>
      <w:tr w:rsidR="00E85D42">
        <w:tblPrEx>
          <w:tblCellMar>
            <w:top w:w="0" w:type="dxa"/>
            <w:bottom w:w="0" w:type="dxa"/>
          </w:tblCellMar>
        </w:tblPrEx>
        <w:trPr>
          <w:trHeight w:val="300"/>
        </w:trPr>
        <w:tc>
          <w:tcPr>
            <w:tcW w:w="4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г. Нефтекамск</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8192,78</w:t>
            </w:r>
          </w:p>
        </w:tc>
      </w:tr>
      <w:tr w:rsidR="00E85D42">
        <w:tblPrEx>
          <w:tblCellMar>
            <w:top w:w="0" w:type="dxa"/>
            <w:bottom w:w="0" w:type="dxa"/>
          </w:tblCellMar>
        </w:tblPrEx>
        <w:trPr>
          <w:trHeight w:val="300"/>
        </w:trPr>
        <w:tc>
          <w:tcPr>
            <w:tcW w:w="4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г. Октябрьский</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4820,33</w:t>
            </w:r>
          </w:p>
        </w:tc>
      </w:tr>
      <w:tr w:rsidR="00E85D42">
        <w:tblPrEx>
          <w:tblCellMar>
            <w:top w:w="0" w:type="dxa"/>
            <w:bottom w:w="0" w:type="dxa"/>
          </w:tblCellMar>
        </w:tblPrEx>
        <w:trPr>
          <w:trHeight w:val="300"/>
        </w:trPr>
        <w:tc>
          <w:tcPr>
            <w:tcW w:w="4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г. Сибай</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5029,24</w:t>
            </w:r>
          </w:p>
        </w:tc>
      </w:tr>
      <w:tr w:rsidR="00E85D42">
        <w:tblPrEx>
          <w:tblCellMar>
            <w:top w:w="0" w:type="dxa"/>
            <w:bottom w:w="0" w:type="dxa"/>
          </w:tblCellMar>
        </w:tblPrEx>
        <w:trPr>
          <w:trHeight w:val="300"/>
        </w:trPr>
        <w:tc>
          <w:tcPr>
            <w:tcW w:w="4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color w:val="000000"/>
                <w:sz w:val="24"/>
                <w:szCs w:val="24"/>
              </w:rPr>
            </w:pPr>
            <w:r>
              <w:rPr>
                <w:color w:val="000000"/>
                <w:sz w:val="24"/>
                <w:szCs w:val="24"/>
              </w:rPr>
              <w:t>г. Бирск</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3592,25</w:t>
            </w:r>
          </w:p>
        </w:tc>
      </w:tr>
    </w:tbl>
    <w:p w:rsidR="00E85D42" w:rsidRDefault="00E85D42">
      <w:pPr>
        <w:jc w:val="both"/>
        <w:rPr>
          <w:sz w:val="24"/>
          <w:szCs w:val="24"/>
        </w:rPr>
      </w:pPr>
    </w:p>
    <w:p w:rsidR="00E85D42" w:rsidRDefault="008113B9">
      <w:pPr>
        <w:jc w:val="both"/>
      </w:pPr>
      <w:r>
        <w:rPr>
          <w:noProof/>
          <w:sz w:val="24"/>
          <w:szCs w:val="24"/>
        </w:rPr>
        <w:drawing>
          <wp:inline distT="0" distB="0" distL="0" distR="0">
            <wp:extent cx="5505446" cy="3742694"/>
            <wp:effectExtent l="0" t="0" r="0" b="0"/>
            <wp:docPr id="108"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E85D42" w:rsidRDefault="008113B9">
      <w:pPr>
        <w:jc w:val="center"/>
        <w:rPr>
          <w:i/>
          <w:sz w:val="24"/>
          <w:szCs w:val="24"/>
        </w:rPr>
      </w:pPr>
      <w:r>
        <w:rPr>
          <w:i/>
          <w:sz w:val="24"/>
          <w:szCs w:val="24"/>
        </w:rPr>
        <w:t xml:space="preserve">Рис.3.1.4.1.7 Соотношение размеров </w:t>
      </w:r>
      <w:r>
        <w:rPr>
          <w:i/>
          <w:sz w:val="24"/>
          <w:szCs w:val="24"/>
        </w:rPr>
        <w:t>тарифов на подключение (технологическое присоединение)</w:t>
      </w:r>
    </w:p>
    <w:p w:rsidR="00E85D42" w:rsidRDefault="008113B9">
      <w:pPr>
        <w:jc w:val="center"/>
        <w:rPr>
          <w:i/>
          <w:sz w:val="24"/>
          <w:szCs w:val="24"/>
        </w:rPr>
      </w:pPr>
      <w:r>
        <w:rPr>
          <w:i/>
          <w:sz w:val="24"/>
          <w:szCs w:val="24"/>
        </w:rPr>
        <w:t>к централизованной системе водоотведения в муниципальных образованиях</w:t>
      </w:r>
    </w:p>
    <w:p w:rsidR="00E85D42" w:rsidRDefault="008113B9">
      <w:pPr>
        <w:jc w:val="center"/>
        <w:rPr>
          <w:i/>
          <w:sz w:val="24"/>
          <w:szCs w:val="24"/>
        </w:rPr>
      </w:pPr>
      <w:r>
        <w:rPr>
          <w:i/>
          <w:sz w:val="24"/>
          <w:szCs w:val="24"/>
        </w:rPr>
        <w:t>Республики Башкортостан</w:t>
      </w:r>
    </w:p>
    <w:p w:rsidR="00E85D42" w:rsidRDefault="00E85D42">
      <w:pPr>
        <w:ind w:firstLine="709"/>
        <w:jc w:val="center"/>
        <w:rPr>
          <w:sz w:val="24"/>
          <w:szCs w:val="24"/>
        </w:rPr>
      </w:pPr>
    </w:p>
    <w:p w:rsidR="00E85D42" w:rsidRDefault="008113B9">
      <w:pPr>
        <w:ind w:firstLine="709"/>
        <w:jc w:val="both"/>
      </w:pPr>
      <w:r>
        <w:rPr>
          <w:sz w:val="24"/>
          <w:szCs w:val="24"/>
        </w:rPr>
        <w:t>В таблице 3.1.4.1.9 и на рисунке Рис.3.1.4.1.8</w:t>
      </w:r>
      <w:r>
        <w:rPr>
          <w:i/>
          <w:sz w:val="24"/>
          <w:szCs w:val="24"/>
        </w:rPr>
        <w:t xml:space="preserve"> </w:t>
      </w:r>
      <w:r>
        <w:rPr>
          <w:sz w:val="24"/>
          <w:szCs w:val="24"/>
        </w:rPr>
        <w:t xml:space="preserve">приведена информация о тарифах на подключение </w:t>
      </w:r>
      <w:r>
        <w:rPr>
          <w:sz w:val="24"/>
          <w:szCs w:val="24"/>
        </w:rPr>
        <w:t>(технологическое присоединение) к централизованной системе холодного водоснабжения в разрезе муниципальных образований Республики Башкортостан, на территории которых утвержден данный вид тарифа.</w:t>
      </w:r>
    </w:p>
    <w:p w:rsidR="00E85D42" w:rsidRDefault="008113B9">
      <w:pPr>
        <w:jc w:val="center"/>
        <w:rPr>
          <w:sz w:val="24"/>
          <w:szCs w:val="24"/>
        </w:rPr>
      </w:pPr>
      <w:r>
        <w:rPr>
          <w:sz w:val="24"/>
          <w:szCs w:val="24"/>
        </w:rPr>
        <w:t>Тарифы на подключение (технологическое присоединение)</w:t>
      </w:r>
    </w:p>
    <w:p w:rsidR="00E85D42" w:rsidRDefault="008113B9">
      <w:pPr>
        <w:jc w:val="center"/>
        <w:rPr>
          <w:sz w:val="24"/>
          <w:szCs w:val="24"/>
        </w:rPr>
      </w:pPr>
      <w:r>
        <w:rPr>
          <w:sz w:val="24"/>
          <w:szCs w:val="24"/>
        </w:rPr>
        <w:t xml:space="preserve">к </w:t>
      </w:r>
      <w:r>
        <w:rPr>
          <w:sz w:val="24"/>
          <w:szCs w:val="24"/>
        </w:rPr>
        <w:t>централизованной системе холодного водоснабжения</w:t>
      </w:r>
    </w:p>
    <w:p w:rsidR="00E85D42" w:rsidRDefault="008113B9">
      <w:pPr>
        <w:jc w:val="right"/>
        <w:rPr>
          <w:sz w:val="24"/>
          <w:szCs w:val="24"/>
        </w:rPr>
      </w:pPr>
      <w:r>
        <w:rPr>
          <w:sz w:val="24"/>
          <w:szCs w:val="24"/>
        </w:rPr>
        <w:t>Таблица 3.1.4.1.9</w:t>
      </w:r>
    </w:p>
    <w:tbl>
      <w:tblPr>
        <w:tblW w:w="9606" w:type="dxa"/>
        <w:tblCellMar>
          <w:left w:w="10" w:type="dxa"/>
          <w:right w:w="10" w:type="dxa"/>
        </w:tblCellMar>
        <w:tblLook w:val="04A0" w:firstRow="1" w:lastRow="0" w:firstColumn="1" w:lastColumn="0" w:noHBand="0" w:noVBand="1"/>
      </w:tblPr>
      <w:tblGrid>
        <w:gridCol w:w="4928"/>
        <w:gridCol w:w="4678"/>
      </w:tblGrid>
      <w:tr w:rsidR="00E85D42">
        <w:tblPrEx>
          <w:tblCellMar>
            <w:top w:w="0" w:type="dxa"/>
            <w:bottom w:w="0" w:type="dxa"/>
          </w:tblCellMar>
        </w:tblPrEx>
        <w:trPr>
          <w:trHeight w:val="589"/>
        </w:trPr>
        <w:tc>
          <w:tcPr>
            <w:tcW w:w="4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both"/>
              <w:rPr>
                <w:sz w:val="24"/>
                <w:szCs w:val="24"/>
              </w:rPr>
            </w:pPr>
            <w:r>
              <w:rPr>
                <w:sz w:val="24"/>
                <w:szCs w:val="24"/>
              </w:rPr>
              <w:t>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 w:val="24"/>
                <w:szCs w:val="24"/>
              </w:rPr>
            </w:pPr>
            <w:r>
              <w:rPr>
                <w:sz w:val="24"/>
                <w:szCs w:val="24"/>
              </w:rPr>
              <w:t>Базовая ставка тарифа на протяженность сетей, тыс. руб./км</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Альшеевский район</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jc w:val="center"/>
              <w:rPr>
                <w:color w:val="000000"/>
                <w:sz w:val="24"/>
                <w:szCs w:val="24"/>
              </w:rPr>
            </w:pPr>
            <w:r>
              <w:rPr>
                <w:color w:val="000000"/>
                <w:sz w:val="24"/>
                <w:szCs w:val="24"/>
              </w:rPr>
              <w:t>3716,52</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Белокатайский район</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6173,02</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Благоварский район</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7008,24</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Благовещенский район</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5196,13</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 xml:space="preserve">Буздякский </w:t>
            </w:r>
            <w:r>
              <w:rPr>
                <w:sz w:val="24"/>
                <w:szCs w:val="24"/>
              </w:rPr>
              <w:t>район</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7917,82</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Давлекановский район</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4614,84</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Дуванский район</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7147,36</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Ишимбайский район</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5348,69</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Кушнаренковский район</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5488,28</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Мелеузовский район</w:t>
            </w:r>
          </w:p>
        </w:tc>
        <w:tc>
          <w:tcPr>
            <w:tcW w:w="467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6758,11</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Мечетлинский район</w:t>
            </w:r>
          </w:p>
        </w:tc>
        <w:tc>
          <w:tcPr>
            <w:tcW w:w="467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5857,23</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Стерлибашевский район</w:t>
            </w: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5420,99</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Туймазинский район</w:t>
            </w: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6979,02</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 xml:space="preserve">Учалинский </w:t>
            </w:r>
            <w:r>
              <w:rPr>
                <w:sz w:val="24"/>
                <w:szCs w:val="24"/>
              </w:rPr>
              <w:t>район</w:t>
            </w:r>
          </w:p>
        </w:tc>
        <w:tc>
          <w:tcPr>
            <w:tcW w:w="46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5056,93</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Федоровский район</w:t>
            </w:r>
          </w:p>
        </w:tc>
        <w:tc>
          <w:tcPr>
            <w:tcW w:w="467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1390,53</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Чекмагушевский район</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7228,76</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 Агидель</w:t>
            </w:r>
          </w:p>
        </w:tc>
        <w:tc>
          <w:tcPr>
            <w:tcW w:w="46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5821,45</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 Кумертау</w:t>
            </w:r>
          </w:p>
        </w:tc>
        <w:tc>
          <w:tcPr>
            <w:tcW w:w="467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4983,19</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 Нефтекамск</w:t>
            </w:r>
          </w:p>
        </w:tc>
        <w:tc>
          <w:tcPr>
            <w:tcW w:w="467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6315,20</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 Октябрьский</w:t>
            </w:r>
          </w:p>
        </w:tc>
        <w:tc>
          <w:tcPr>
            <w:tcW w:w="467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4837,50</w:t>
            </w:r>
          </w:p>
        </w:tc>
      </w:tr>
      <w:tr w:rsidR="00E85D42">
        <w:tblPrEx>
          <w:tblCellMar>
            <w:top w:w="0" w:type="dxa"/>
            <w:bottom w:w="0" w:type="dxa"/>
          </w:tblCellMar>
        </w:tblPrEx>
        <w:trPr>
          <w:trHeight w:val="314"/>
        </w:trPr>
        <w:tc>
          <w:tcPr>
            <w:tcW w:w="49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both"/>
              <w:rPr>
                <w:sz w:val="24"/>
                <w:szCs w:val="24"/>
              </w:rPr>
            </w:pPr>
            <w:r>
              <w:rPr>
                <w:sz w:val="24"/>
                <w:szCs w:val="24"/>
              </w:rPr>
              <w:t>г. Сибай</w:t>
            </w:r>
          </w:p>
        </w:tc>
        <w:tc>
          <w:tcPr>
            <w:tcW w:w="467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4"/>
                <w:szCs w:val="24"/>
              </w:rPr>
            </w:pPr>
            <w:r>
              <w:rPr>
                <w:color w:val="000000"/>
                <w:sz w:val="24"/>
                <w:szCs w:val="24"/>
              </w:rPr>
              <w:t>7464,00</w:t>
            </w:r>
          </w:p>
        </w:tc>
      </w:tr>
    </w:tbl>
    <w:p w:rsidR="00E85D42" w:rsidRDefault="00E85D42">
      <w:pPr>
        <w:jc w:val="both"/>
        <w:rPr>
          <w:sz w:val="24"/>
          <w:szCs w:val="24"/>
        </w:rPr>
      </w:pPr>
    </w:p>
    <w:p w:rsidR="00E85D42" w:rsidRDefault="008113B9">
      <w:pPr>
        <w:jc w:val="both"/>
      </w:pPr>
      <w:r>
        <w:rPr>
          <w:b/>
          <w:noProof/>
          <w:sz w:val="24"/>
          <w:szCs w:val="24"/>
        </w:rPr>
        <w:drawing>
          <wp:inline distT="0" distB="0" distL="0" distR="0">
            <wp:extent cx="5131557" cy="3851836"/>
            <wp:effectExtent l="0" t="0" r="0" b="0"/>
            <wp:docPr id="109" name="Рисунок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rcRect b="9839"/>
                    <a:stretch>
                      <a:fillRect/>
                    </a:stretch>
                  </pic:blipFill>
                  <pic:spPr>
                    <a:xfrm>
                      <a:off x="0" y="0"/>
                      <a:ext cx="5131557" cy="3851836"/>
                    </a:xfrm>
                    <a:prstGeom prst="rect">
                      <a:avLst/>
                    </a:prstGeom>
                    <a:noFill/>
                    <a:ln>
                      <a:noFill/>
                      <a:prstDash/>
                    </a:ln>
                  </pic:spPr>
                </pic:pic>
              </a:graphicData>
            </a:graphic>
          </wp:inline>
        </w:drawing>
      </w:r>
    </w:p>
    <w:p w:rsidR="00E85D42" w:rsidRDefault="008113B9">
      <w:pPr>
        <w:jc w:val="center"/>
        <w:rPr>
          <w:i/>
          <w:sz w:val="24"/>
          <w:szCs w:val="24"/>
        </w:rPr>
      </w:pPr>
      <w:r>
        <w:rPr>
          <w:i/>
          <w:sz w:val="24"/>
          <w:szCs w:val="24"/>
        </w:rPr>
        <w:t xml:space="preserve">Рис.3.1.4.1.8 Соотношение размеров тарифов на подключение (технологическое </w:t>
      </w:r>
      <w:r>
        <w:rPr>
          <w:i/>
          <w:sz w:val="24"/>
          <w:szCs w:val="24"/>
        </w:rPr>
        <w:t>присоединение)</w:t>
      </w:r>
    </w:p>
    <w:p w:rsidR="00E85D42" w:rsidRDefault="008113B9">
      <w:pPr>
        <w:jc w:val="center"/>
        <w:rPr>
          <w:i/>
          <w:sz w:val="24"/>
          <w:szCs w:val="24"/>
        </w:rPr>
      </w:pPr>
      <w:r>
        <w:rPr>
          <w:i/>
          <w:sz w:val="24"/>
          <w:szCs w:val="24"/>
        </w:rPr>
        <w:t>к централизованной системе холодного водоснабжения в муниципальных образованиях</w:t>
      </w:r>
    </w:p>
    <w:p w:rsidR="00E85D42" w:rsidRDefault="008113B9">
      <w:pPr>
        <w:jc w:val="center"/>
        <w:rPr>
          <w:i/>
          <w:sz w:val="24"/>
          <w:szCs w:val="24"/>
        </w:rPr>
      </w:pPr>
      <w:r>
        <w:rPr>
          <w:i/>
          <w:sz w:val="24"/>
          <w:szCs w:val="24"/>
        </w:rPr>
        <w:t>Республики Башкортостан</w:t>
      </w:r>
    </w:p>
    <w:p w:rsidR="00E85D42" w:rsidRDefault="00E85D42">
      <w:pPr>
        <w:jc w:val="center"/>
        <w:rPr>
          <w:i/>
          <w:sz w:val="24"/>
          <w:szCs w:val="24"/>
        </w:rPr>
      </w:pPr>
    </w:p>
    <w:p w:rsidR="00E85D42" w:rsidRDefault="008113B9">
      <w:pPr>
        <w:ind w:firstLine="709"/>
        <w:jc w:val="both"/>
        <w:rPr>
          <w:sz w:val="24"/>
          <w:szCs w:val="24"/>
        </w:rPr>
      </w:pPr>
      <w:r>
        <w:rPr>
          <w:sz w:val="24"/>
          <w:szCs w:val="24"/>
        </w:rPr>
        <w:t xml:space="preserve">Размер платы за технологическое присоединение к электрическим сетям территориальных сетевых организаций на территории Республики </w:t>
      </w:r>
      <w:r>
        <w:rPr>
          <w:sz w:val="24"/>
          <w:szCs w:val="24"/>
        </w:rPr>
        <w:t xml:space="preserve">Башкортостан в течение 2017 года регламентирован Постановлением Государственного комитета Республики Башкортостан по тарифам от 25.12.2017 N 843, в соответствии с которым установлен размер платы за технологическое присоединение энергопринимающих устройств </w:t>
      </w:r>
      <w:r>
        <w:rPr>
          <w:sz w:val="24"/>
          <w:szCs w:val="24"/>
        </w:rPr>
        <w:t>максимальной мощностью, не превышающей 15 кВт включительно (с учетом ранее присоединенных в данной точке присоединения энергопринимающих устройств), к электрическим сетям территориальных сетевых организаций на территории Республики Башкортостан в размере 5</w:t>
      </w:r>
      <w:r>
        <w:rPr>
          <w:sz w:val="24"/>
          <w:szCs w:val="24"/>
        </w:rPr>
        <w:t>50 рублей (с учетом НДС) за одно технологическое присоединение.</w:t>
      </w:r>
    </w:p>
    <w:p w:rsidR="00E85D42" w:rsidRDefault="008113B9">
      <w:pPr>
        <w:ind w:firstLine="709"/>
        <w:jc w:val="both"/>
        <w:rPr>
          <w:sz w:val="24"/>
          <w:szCs w:val="24"/>
        </w:rPr>
      </w:pPr>
      <w:r>
        <w:rPr>
          <w:sz w:val="24"/>
          <w:szCs w:val="24"/>
        </w:rPr>
        <w:t>Постановлением Государственного комитета Республики Башкортостан по тарифам от 25.12.2017 N 847 установлены стандартизированные тарифные ставки для расчета платы за технологическое присоединен</w:t>
      </w:r>
      <w:r>
        <w:rPr>
          <w:sz w:val="24"/>
          <w:szCs w:val="24"/>
        </w:rPr>
        <w:t>ие газоиспользующего оборудования к сетям газораспределения открытого акционерного общества «Газпром газораспределение Уфа» на территории Республики Башкортостан, а именно: стандартизированные тарифные ставки, применяемые для расчета платы за технологическ</w:t>
      </w:r>
      <w:r>
        <w:rPr>
          <w:sz w:val="24"/>
          <w:szCs w:val="24"/>
        </w:rPr>
        <w:t>ое присоединение, для случаев технологического присоединения газоиспользующего оборудования с максимальным расходом газа 500 куб. метров газа в час и менее и (или) проектным рабочим давлением в присоединяемом газопроводе 0,6 МПа и менее, к сетям газораспре</w:t>
      </w:r>
      <w:r>
        <w:rPr>
          <w:sz w:val="24"/>
          <w:szCs w:val="24"/>
        </w:rPr>
        <w:t>деления ООО «Газпром газораспределение Уфа».</w:t>
      </w:r>
    </w:p>
    <w:p w:rsidR="00E85D42" w:rsidRDefault="008113B9">
      <w:pPr>
        <w:ind w:firstLine="709"/>
        <w:jc w:val="both"/>
        <w:rPr>
          <w:sz w:val="24"/>
          <w:szCs w:val="24"/>
        </w:rPr>
      </w:pPr>
      <w:r>
        <w:rPr>
          <w:sz w:val="24"/>
          <w:szCs w:val="24"/>
        </w:rPr>
        <w:t xml:space="preserve">Согласно Постановлению Государственного комитета РБ по тарифам от 25.12.2017 N 848 «Об установлении платы за технологическое присоединение газоиспользующего оборудования заявителей к газораспределительным сетям </w:t>
      </w:r>
      <w:r>
        <w:rPr>
          <w:sz w:val="24"/>
          <w:szCs w:val="24"/>
        </w:rPr>
        <w:t>на территории Республики Башкортостан, осуществляемое публичным акционерным обществом «Газпром газораспределение Уфа», утверждены:</w:t>
      </w:r>
    </w:p>
    <w:p w:rsidR="00E85D42" w:rsidRDefault="008113B9">
      <w:pPr>
        <w:ind w:firstLine="709"/>
        <w:jc w:val="both"/>
        <w:rPr>
          <w:sz w:val="24"/>
          <w:szCs w:val="24"/>
        </w:rPr>
      </w:pPr>
      <w:r>
        <w:rPr>
          <w:sz w:val="24"/>
          <w:szCs w:val="24"/>
        </w:rPr>
        <w:t>- плата за технологическое присоединение к сетям газораспределения на территории Республики Башкортостан, осуществляемое публ</w:t>
      </w:r>
      <w:r>
        <w:rPr>
          <w:sz w:val="24"/>
          <w:szCs w:val="24"/>
        </w:rPr>
        <w:t>ичным акционерным обществом "Газпром газораспределение Уфа", газоиспользующего оборудования с максимальным расходом газа, не превышающим 15 куб. метров в час, с учетом расхода газа ранее подключенного в данной точке подключения газоиспользующего оборудован</w:t>
      </w:r>
      <w:r>
        <w:rPr>
          <w:sz w:val="24"/>
          <w:szCs w:val="24"/>
        </w:rPr>
        <w:t>ия заявителя (для заявителей, намеревающихся использовать газ для целей предпринимательской (коммерческой) деятельности), в размере 62210,56 рубля (без НДС), при условии, что расстояние от газоиспользующего оборудования до сети газораспределения газораспре</w:t>
      </w:r>
      <w:r>
        <w:rPr>
          <w:sz w:val="24"/>
          <w:szCs w:val="24"/>
        </w:rPr>
        <w:t>делительной организации, в которую подана заявка, с проектным рабочим давлением не более 0,3 МПа, измеряемое по прямой линии, составляет не более 200 метров и сами мероприятия предполагают строительство только газопроводов-вводов (без устройства пунктов ре</w:t>
      </w:r>
      <w:r>
        <w:rPr>
          <w:sz w:val="24"/>
          <w:szCs w:val="24"/>
        </w:rPr>
        <w:t>дуцирования газа) в соответствии с утвержденной в установленном порядке схемой газоснабжения территории поселения (если имеется);</w:t>
      </w:r>
    </w:p>
    <w:p w:rsidR="00E85D42" w:rsidRDefault="008113B9">
      <w:pPr>
        <w:ind w:firstLine="709"/>
        <w:jc w:val="both"/>
        <w:rPr>
          <w:sz w:val="24"/>
          <w:szCs w:val="24"/>
        </w:rPr>
      </w:pPr>
      <w:r>
        <w:rPr>
          <w:sz w:val="24"/>
          <w:szCs w:val="24"/>
        </w:rPr>
        <w:t>- плата за технологическое присоединение к сетям газораспределения на территории Республики Башкортостан, осуществляемое публи</w:t>
      </w:r>
      <w:r>
        <w:rPr>
          <w:sz w:val="24"/>
          <w:szCs w:val="24"/>
        </w:rPr>
        <w:t>чным акционерным обществом "Газпром газораспределение Уфа", газоиспользующего оборудования с максимальным расходом газа, не превышающим 5 куб. метров в час, с учетом расхода газа ранее подключенного в данной точке подключения газоиспользующего оборудования</w:t>
      </w:r>
      <w:r>
        <w:rPr>
          <w:sz w:val="24"/>
          <w:szCs w:val="24"/>
        </w:rPr>
        <w:t xml:space="preserve"> заявителя (для прочих заявителей, не намеревающихся использовать газ для целей предпринимательской (коммерческой) деятельности) в размере 24884,23 рубля с НДС для физических лиц и 24884,23 рубля без НДС для юридических лиц, при условии, что расстояние от </w:t>
      </w:r>
      <w:r>
        <w:rPr>
          <w:sz w:val="24"/>
          <w:szCs w:val="24"/>
        </w:rPr>
        <w:t xml:space="preserve">газоиспользующего оборудования до сети газораспределения газораспределительной организации, в которую подана заявка, с проектным рабочим давлением не более 0,3 МПа, измеряемое по прямой линии, составляет не более 200 метров и сами мероприятия предполагают </w:t>
      </w:r>
      <w:r>
        <w:rPr>
          <w:sz w:val="24"/>
          <w:szCs w:val="24"/>
        </w:rPr>
        <w:t>строительство только газопроводов-вводов (без устройства пунктов редуцирования газа) в соответствии с утвержденной в установленном порядке схемой газоснабжения территории поселения (если имеется).;</w:t>
      </w:r>
    </w:p>
    <w:p w:rsidR="00E85D42" w:rsidRDefault="008113B9">
      <w:pPr>
        <w:ind w:firstLine="709"/>
        <w:jc w:val="both"/>
        <w:rPr>
          <w:sz w:val="24"/>
          <w:szCs w:val="24"/>
        </w:rPr>
      </w:pPr>
      <w:r>
        <w:rPr>
          <w:sz w:val="24"/>
          <w:szCs w:val="24"/>
        </w:rPr>
        <w:t xml:space="preserve">- экономически обоснованная плата за одно технологическое </w:t>
      </w:r>
      <w:r>
        <w:rPr>
          <w:sz w:val="24"/>
          <w:szCs w:val="24"/>
        </w:rPr>
        <w:t>присоединение в размере 23698,98 рубля.</w:t>
      </w:r>
    </w:p>
    <w:p w:rsidR="00E85D42" w:rsidRDefault="008113B9">
      <w:pPr>
        <w:ind w:firstLine="709"/>
        <w:jc w:val="both"/>
        <w:rPr>
          <w:sz w:val="24"/>
          <w:szCs w:val="24"/>
        </w:rPr>
      </w:pPr>
      <w:r>
        <w:rPr>
          <w:sz w:val="24"/>
          <w:szCs w:val="24"/>
        </w:rPr>
        <w:t>Срок действия стандартизированных тарифных ставок и платы за технологическое присоединение к сетям газораспределения, установленных вышеуказанными нормативными документами, определен с 1 января 2018 года по 31 декабр</w:t>
      </w:r>
      <w:r>
        <w:rPr>
          <w:sz w:val="24"/>
          <w:szCs w:val="24"/>
        </w:rPr>
        <w:t>я 2018 года.</w:t>
      </w:r>
    </w:p>
    <w:p w:rsidR="00E85D42" w:rsidRDefault="008113B9">
      <w:pPr>
        <w:ind w:firstLine="709"/>
        <w:jc w:val="both"/>
        <w:rPr>
          <w:sz w:val="24"/>
          <w:szCs w:val="24"/>
        </w:rPr>
      </w:pPr>
      <w:r>
        <w:rPr>
          <w:sz w:val="24"/>
          <w:szCs w:val="24"/>
        </w:rPr>
        <w:t>Анализ приведенной информации о тарифах, установленных на услуги жилищно-коммунального характера, а также о затратах на подключение к сетям инженерно-технического обеспечения позволяет сделать вывод о постепенно увеличивающейся финансовой нагр</w:t>
      </w:r>
      <w:r>
        <w:rPr>
          <w:sz w:val="24"/>
          <w:szCs w:val="24"/>
        </w:rPr>
        <w:t>узке на население, предприятия, организации и предпринимателей.</w:t>
      </w:r>
    </w:p>
    <w:p w:rsidR="00E85D42" w:rsidRDefault="008113B9">
      <w:pPr>
        <w:ind w:firstLine="709"/>
        <w:jc w:val="both"/>
        <w:rPr>
          <w:sz w:val="24"/>
          <w:szCs w:val="24"/>
        </w:rPr>
      </w:pPr>
      <w:r>
        <w:rPr>
          <w:sz w:val="24"/>
          <w:szCs w:val="24"/>
        </w:rPr>
        <w:t>Распоряжением Правительства Российской Федерации от 26 октября 2017 N 2353-р утверждены индексы изменения размера вносимой гражданами платы за коммунальные услуги в среднем по субъектам Россий</w:t>
      </w:r>
      <w:r>
        <w:rPr>
          <w:sz w:val="24"/>
          <w:szCs w:val="24"/>
        </w:rPr>
        <w:t>ской Федерации на 2018 год. Башкортостан оказался в числе регионов с самым высоким ростом цен на услуги ЖКХ по стране. На первом месте находится Санкт-Петербург – средний индекс в 2018 году, согласно документу, может увеличиться на 6%, а в Ленинградской об</w:t>
      </w:r>
      <w:r>
        <w:rPr>
          <w:sz w:val="24"/>
          <w:szCs w:val="24"/>
        </w:rPr>
        <w:t>ласти на 3,5%, в Кемеровской области, как и в Башкирии – на 5,9%, в Кировской, Новгородской областях и Москве – на 5,5%.</w:t>
      </w:r>
    </w:p>
    <w:p w:rsidR="00E85D42" w:rsidRDefault="008113B9">
      <w:pPr>
        <w:ind w:firstLine="709"/>
        <w:jc w:val="both"/>
        <w:rPr>
          <w:sz w:val="24"/>
          <w:szCs w:val="24"/>
        </w:rPr>
      </w:pPr>
      <w:r>
        <w:rPr>
          <w:sz w:val="24"/>
          <w:szCs w:val="24"/>
        </w:rPr>
        <w:t>Предельно допустимые отклонения по отдельным муниципальным образованиям от величины указанных индексов на 2016-2018 годы утверждены рас</w:t>
      </w:r>
      <w:r>
        <w:rPr>
          <w:sz w:val="24"/>
          <w:szCs w:val="24"/>
        </w:rPr>
        <w:t>поряжением Правительства Российской Федерации от 1 ноября 2014 года № 2222-р. По Республике Башкортостан утверждено отклонение 2,5%.</w:t>
      </w:r>
    </w:p>
    <w:p w:rsidR="00E85D42" w:rsidRDefault="008113B9">
      <w:pPr>
        <w:ind w:firstLine="709"/>
        <w:jc w:val="both"/>
      </w:pPr>
      <w:r>
        <w:rPr>
          <w:sz w:val="24"/>
          <w:szCs w:val="24"/>
        </w:rPr>
        <w:t>Согласно информации Государственного комитета Республики Башкортостан по тарифам</w:t>
      </w:r>
      <w:r>
        <w:rPr>
          <w:sz w:val="24"/>
          <w:szCs w:val="24"/>
          <w:vertAlign w:val="superscript"/>
        </w:rPr>
        <w:footnoteReference w:id="19"/>
      </w:r>
      <w:r>
        <w:rPr>
          <w:sz w:val="24"/>
          <w:szCs w:val="24"/>
        </w:rPr>
        <w:t xml:space="preserve">, в 26 из 841 муниципальных образованиях установлен предельный индекс, превышающий индекс по Республике Башкортостан более чем на </w:t>
      </w:r>
      <w:r>
        <w:rPr>
          <w:sz w:val="24"/>
          <w:szCs w:val="24"/>
        </w:rPr>
        <w:t>величину допустимого отклонения. Основаниями для превышения явились реализация инвестиционных программ и (или) соблюдение долгосрочных параметров регулирования тарифов, установленных в рамках заключенного (планируемого к заключению) концессионного соглашен</w:t>
      </w:r>
      <w:r>
        <w:rPr>
          <w:sz w:val="24"/>
          <w:szCs w:val="24"/>
        </w:rPr>
        <w:t>ия.</w:t>
      </w:r>
    </w:p>
    <w:p w:rsidR="00E85D42" w:rsidRDefault="008113B9">
      <w:pPr>
        <w:ind w:firstLine="709"/>
        <w:jc w:val="both"/>
        <w:rPr>
          <w:sz w:val="24"/>
          <w:szCs w:val="24"/>
        </w:rPr>
      </w:pPr>
      <w:r>
        <w:rPr>
          <w:sz w:val="24"/>
          <w:szCs w:val="24"/>
        </w:rPr>
        <w:t>Так максимальный рост цен на услуги ЖКХ в Белебеевском районе может составить 8,5%, в Чишминском районе - на 9,21-11,89%, в Мелеузовском – на 10,83%, в городе Дюртюли – на 12%, в Кигинском районе – на 12,6%, в Баймакском, Гафурийском, Уфимском районах,</w:t>
      </w:r>
      <w:r>
        <w:rPr>
          <w:sz w:val="24"/>
          <w:szCs w:val="24"/>
        </w:rPr>
        <w:t xml:space="preserve"> Салавате, Ишимбае и Уфе – на 12,8%, в Бирске – на 13,45%, в Кумертау – на 14%, в Татышлинском районе – на 14,17%, в Сибае – на 14,2%, в городе Учалы – на 14,9%, в Янауле – на 14,95%, в Октябрьском – на 19%. Это связано с тем, что в названных муниципалитет</w:t>
      </w:r>
      <w:r>
        <w:rPr>
          <w:sz w:val="24"/>
          <w:szCs w:val="24"/>
        </w:rPr>
        <w:t>ах реализовываются инвестпрограммы и концессионные соглашения в сфере ЖКХ. В частности, инвестиционные программы по водоснабжению, водотведению и концессионные соглашения в сфере теплоснабжения. Предельно допустимый индекс может быть увеличен по распоряжен</w:t>
      </w:r>
      <w:r>
        <w:rPr>
          <w:sz w:val="24"/>
          <w:szCs w:val="24"/>
        </w:rPr>
        <w:t>ию главы республики.</w:t>
      </w:r>
    </w:p>
    <w:p w:rsidR="00E85D42" w:rsidRDefault="008113B9">
      <w:pPr>
        <w:ind w:firstLine="709"/>
        <w:jc w:val="both"/>
        <w:rPr>
          <w:sz w:val="24"/>
          <w:szCs w:val="24"/>
        </w:rPr>
      </w:pPr>
      <w:r>
        <w:rPr>
          <w:sz w:val="24"/>
          <w:szCs w:val="24"/>
        </w:rPr>
        <w:t>Реализация концессионных соглашений и инвестиционных программ позволит количественно и качественно обеспечить потребителей водой и тепловой энергией в связи с нарастающим физическим износом производственных фондов с учетом перспективны</w:t>
      </w:r>
      <w:r>
        <w:rPr>
          <w:sz w:val="24"/>
          <w:szCs w:val="24"/>
        </w:rPr>
        <w:t>х нагрузок и возможности подключения новых потребителей.</w:t>
      </w:r>
    </w:p>
    <w:p w:rsidR="00E85D42" w:rsidRDefault="008113B9">
      <w:pPr>
        <w:ind w:firstLine="709"/>
        <w:jc w:val="both"/>
        <w:rPr>
          <w:sz w:val="24"/>
          <w:szCs w:val="24"/>
        </w:rPr>
      </w:pPr>
      <w:r>
        <w:rPr>
          <w:sz w:val="24"/>
          <w:szCs w:val="24"/>
        </w:rPr>
        <w:t>При этом, по сравнению с соседями в Приволжском федеральном округе, стоимость электрической энергии в Республике Башкортостан остается одной из самых низких в ПФО и для населения, проживающего в горо</w:t>
      </w:r>
      <w:r>
        <w:rPr>
          <w:sz w:val="24"/>
          <w:szCs w:val="24"/>
        </w:rPr>
        <w:t>дских населенных пунктах в домах со стационарными и газовыми плитами с 1 июля составляла 3,01 рубля за КВт.ч, для потребителей, проживающих в сельской местности – 2,11 рубля за КВт.ч., с ростом 4,87 % к уровню декабря предыдущего года.</w:t>
      </w:r>
    </w:p>
    <w:p w:rsidR="00E85D42" w:rsidRDefault="008113B9">
      <w:pPr>
        <w:ind w:firstLine="709"/>
        <w:jc w:val="both"/>
        <w:rPr>
          <w:sz w:val="24"/>
          <w:szCs w:val="24"/>
        </w:rPr>
      </w:pPr>
      <w:r>
        <w:rPr>
          <w:sz w:val="24"/>
          <w:szCs w:val="24"/>
        </w:rPr>
        <w:t>С 1 июля средневзвеш</w:t>
      </w:r>
      <w:r>
        <w:rPr>
          <w:sz w:val="24"/>
          <w:szCs w:val="24"/>
        </w:rPr>
        <w:t>енная цена питьевой воды составила 24,77 рублей с НДС за 1 кубический метр, рост составил 6,21%. Данная величина тарифа находится на средней позиции среди субъектов Приволжского Федерального округа.</w:t>
      </w:r>
    </w:p>
    <w:p w:rsidR="00E85D42" w:rsidRDefault="008113B9">
      <w:pPr>
        <w:ind w:firstLine="709"/>
        <w:jc w:val="both"/>
        <w:rPr>
          <w:sz w:val="24"/>
          <w:szCs w:val="24"/>
        </w:rPr>
      </w:pPr>
      <w:r>
        <w:rPr>
          <w:sz w:val="24"/>
          <w:szCs w:val="24"/>
        </w:rPr>
        <w:t>По тарифам на услуги водоотведения республика занимает по</w:t>
      </w:r>
      <w:r>
        <w:rPr>
          <w:sz w:val="24"/>
          <w:szCs w:val="24"/>
        </w:rPr>
        <w:t>зицию чуть выше средней с тарифом 25,72 рубля за 1 куб.м. с НДС с ростом 17,7%. Прежде всего это связано, с тем, что в балансе водоотведения большую долю занимает МУП «Уфаводоканал», в целях реализации инвестиционной программы которой, представительный орг</w:t>
      </w:r>
      <w:r>
        <w:rPr>
          <w:sz w:val="24"/>
          <w:szCs w:val="24"/>
        </w:rPr>
        <w:t>ан ГО г. Уфа обратился к Главе Республики Башкортостан с инициативой о превышении установленных ограничений по индексу роста платы граждан и рост тарифа на водоотведение составил 25%. В итоге индекс изменения совокупной платы граждан за коммунальные услуги</w:t>
      </w:r>
      <w:r>
        <w:rPr>
          <w:sz w:val="24"/>
          <w:szCs w:val="24"/>
        </w:rPr>
        <w:t xml:space="preserve"> по ГО г.Уфа составил с 1 июля 12,8%.</w:t>
      </w:r>
    </w:p>
    <w:p w:rsidR="00E85D42" w:rsidRDefault="008113B9">
      <w:pPr>
        <w:ind w:firstLine="709"/>
        <w:jc w:val="both"/>
        <w:rPr>
          <w:sz w:val="24"/>
          <w:szCs w:val="24"/>
        </w:rPr>
      </w:pPr>
      <w:r>
        <w:rPr>
          <w:sz w:val="24"/>
          <w:szCs w:val="24"/>
        </w:rPr>
        <w:t>Средневзвешенный тариф на тепловую энергию составил 1920,88 рублей с НДС за 1 Гкал, с ростом 5,17% к первому полугодию.</w:t>
      </w:r>
    </w:p>
    <w:p w:rsidR="00E85D42" w:rsidRDefault="008113B9">
      <w:pPr>
        <w:ind w:firstLine="709"/>
        <w:jc w:val="both"/>
        <w:rPr>
          <w:sz w:val="24"/>
          <w:szCs w:val="24"/>
        </w:rPr>
      </w:pPr>
      <w:r>
        <w:rPr>
          <w:sz w:val="24"/>
          <w:szCs w:val="24"/>
        </w:rPr>
        <w:t>Таким образом, рост средневзвешенных тарифов для населения с 1 июля 2018 года по Республике Башкор</w:t>
      </w:r>
      <w:r>
        <w:rPr>
          <w:sz w:val="24"/>
          <w:szCs w:val="24"/>
        </w:rPr>
        <w:t>тостан в рамках установленных ограничений по индексу изменения совокупной платы граждан за коммунальные услуги составил:</w:t>
      </w:r>
    </w:p>
    <w:p w:rsidR="00E85D42" w:rsidRDefault="008113B9">
      <w:pPr>
        <w:ind w:firstLine="709"/>
        <w:jc w:val="both"/>
        <w:rPr>
          <w:sz w:val="24"/>
          <w:szCs w:val="24"/>
        </w:rPr>
      </w:pPr>
      <w:r>
        <w:rPr>
          <w:sz w:val="24"/>
          <w:szCs w:val="24"/>
        </w:rPr>
        <w:t>- водоснабжение - 6,21%</w:t>
      </w:r>
    </w:p>
    <w:p w:rsidR="00E85D42" w:rsidRDefault="008113B9">
      <w:pPr>
        <w:ind w:firstLine="709"/>
        <w:jc w:val="both"/>
        <w:rPr>
          <w:sz w:val="24"/>
          <w:szCs w:val="24"/>
        </w:rPr>
      </w:pPr>
      <w:r>
        <w:rPr>
          <w:sz w:val="24"/>
          <w:szCs w:val="24"/>
        </w:rPr>
        <w:t>- водоотведение - 17,7%</w:t>
      </w:r>
    </w:p>
    <w:p w:rsidR="00E85D42" w:rsidRDefault="008113B9">
      <w:pPr>
        <w:ind w:firstLine="709"/>
        <w:jc w:val="both"/>
        <w:rPr>
          <w:sz w:val="24"/>
          <w:szCs w:val="24"/>
        </w:rPr>
      </w:pPr>
      <w:r>
        <w:rPr>
          <w:sz w:val="24"/>
          <w:szCs w:val="24"/>
        </w:rPr>
        <w:t>- отопление - 5,17%</w:t>
      </w:r>
    </w:p>
    <w:p w:rsidR="00E85D42" w:rsidRDefault="008113B9">
      <w:pPr>
        <w:ind w:firstLine="709"/>
        <w:jc w:val="both"/>
        <w:rPr>
          <w:sz w:val="24"/>
          <w:szCs w:val="24"/>
        </w:rPr>
      </w:pPr>
      <w:r>
        <w:rPr>
          <w:sz w:val="24"/>
          <w:szCs w:val="24"/>
        </w:rPr>
        <w:t>- газоснабжение - 3,4</w:t>
      </w:r>
    </w:p>
    <w:p w:rsidR="00E85D42" w:rsidRDefault="008113B9">
      <w:pPr>
        <w:ind w:firstLine="709"/>
        <w:jc w:val="both"/>
        <w:rPr>
          <w:sz w:val="24"/>
          <w:szCs w:val="24"/>
        </w:rPr>
      </w:pPr>
      <w:r>
        <w:rPr>
          <w:sz w:val="24"/>
          <w:szCs w:val="24"/>
        </w:rPr>
        <w:t>- электроснабжение – 4,87%</w:t>
      </w:r>
    </w:p>
    <w:p w:rsidR="00E85D42" w:rsidRDefault="008113B9">
      <w:pPr>
        <w:ind w:firstLine="709"/>
        <w:jc w:val="both"/>
        <w:rPr>
          <w:sz w:val="24"/>
          <w:szCs w:val="24"/>
        </w:rPr>
      </w:pPr>
      <w:r>
        <w:rPr>
          <w:sz w:val="24"/>
          <w:szCs w:val="24"/>
        </w:rPr>
        <w:t>Средний индекс 5,9</w:t>
      </w:r>
      <w:r>
        <w:rPr>
          <w:sz w:val="24"/>
          <w:szCs w:val="24"/>
        </w:rPr>
        <w:t>% при таком росте на услуги водоснабжения и водоотведения соблюдается в связи с тем, что в структуре совокупной платы граждан за коммунальные услуги в целом по Республике Башкортостан более 48% занимает отопление, водоснабжение и водоотведение 9% и 8% соот</w:t>
      </w:r>
      <w:r>
        <w:rPr>
          <w:sz w:val="24"/>
          <w:szCs w:val="24"/>
        </w:rPr>
        <w:t>ветственно, горячее водоснабжение – 9%, электроснабжение – 22%, газоснабжение – 4%.</w:t>
      </w:r>
    </w:p>
    <w:p w:rsidR="00E85D42" w:rsidRDefault="008113B9">
      <w:pPr>
        <w:ind w:firstLine="709"/>
        <w:jc w:val="both"/>
      </w:pPr>
      <w:r>
        <w:rPr>
          <w:sz w:val="24"/>
          <w:szCs w:val="24"/>
        </w:rPr>
        <w:t xml:space="preserve">В Республике Башкортостан в 2017 году в соответствии с постановлением Правительства Республики Башкортостан «Об утверждении способа осуществления потребителями платы </w:t>
      </w:r>
      <w:r>
        <w:rPr>
          <w:sz w:val="24"/>
          <w:szCs w:val="24"/>
        </w:rPr>
        <w:t>коммунальной услуги по отоплению на территории Республики Башкортостан» на оплату услуг по отоплению в течение отопительного сезона перешли 4 муниципальных района, это Бакалинский, Давлекановский, Илишевский, Кигинский. С 2018 года к вышеуказанным муниципа</w:t>
      </w:r>
      <w:r>
        <w:rPr>
          <w:sz w:val="24"/>
          <w:szCs w:val="24"/>
        </w:rPr>
        <w:t>льным районам добавились еще 13, в том числе город Уфа. При этом применяются нормативы потребления, утвержденные Госкомитетом РБ по тарифам постановлением от 29 сентября 2016 г. № 122 «</w:t>
      </w:r>
      <w:r>
        <w:rPr>
          <w:rFonts w:eastAsia="Calibri"/>
          <w:sz w:val="24"/>
          <w:szCs w:val="24"/>
          <w:lang w:eastAsia="en-US"/>
        </w:rPr>
        <w:t xml:space="preserve">Об утверждении нормативов потребления коммунальной услуги по отоплению </w:t>
      </w:r>
      <w:r>
        <w:rPr>
          <w:rFonts w:eastAsia="Calibri"/>
          <w:sz w:val="24"/>
          <w:szCs w:val="24"/>
          <w:lang w:eastAsia="en-US"/>
        </w:rPr>
        <w:t>в жилых помещениях и норматива потребления коммунальной услуги по отоплению при использовании надворных построек, расположенных на земельном участке на территории Республики Башкортостан, в отопительный период, определенных расчетным методом»</w:t>
      </w:r>
      <w:r>
        <w:rPr>
          <w:sz w:val="24"/>
          <w:szCs w:val="24"/>
        </w:rPr>
        <w:t>. Следует отме</w:t>
      </w:r>
      <w:r>
        <w:rPr>
          <w:sz w:val="24"/>
          <w:szCs w:val="24"/>
        </w:rPr>
        <w:t>тить, что значительный рост произошел для потребителей, проживающих в домах этажностью 1-2 и годом постройки до 1999 года.</w:t>
      </w:r>
    </w:p>
    <w:p w:rsidR="00E85D42" w:rsidRDefault="00E85D42">
      <w:pPr>
        <w:jc w:val="both"/>
        <w:rPr>
          <w:sz w:val="28"/>
          <w:szCs w:val="28"/>
        </w:rPr>
      </w:pPr>
    </w:p>
    <w:p w:rsidR="00E85D42" w:rsidRDefault="008113B9">
      <w:pPr>
        <w:keepNext/>
        <w:tabs>
          <w:tab w:val="left" w:pos="851"/>
        </w:tabs>
        <w:ind w:left="864"/>
        <w:jc w:val="center"/>
        <w:outlineLvl w:val="3"/>
        <w:rPr>
          <w:b/>
          <w:iCs/>
          <w:sz w:val="24"/>
        </w:rPr>
      </w:pPr>
      <w:bookmarkStart w:id="120" w:name="_Toc11934888"/>
      <w:r>
        <w:rPr>
          <w:b/>
          <w:iCs/>
          <w:sz w:val="24"/>
        </w:rPr>
        <w:t>3.1.5.  Сбор и обработка рыночной информации</w:t>
      </w:r>
      <w:bookmarkEnd w:id="120"/>
    </w:p>
    <w:p w:rsidR="00E85D42" w:rsidRDefault="008113B9">
      <w:pPr>
        <w:ind w:firstLine="709"/>
        <w:jc w:val="both"/>
        <w:rPr>
          <w:sz w:val="24"/>
          <w:szCs w:val="24"/>
        </w:rPr>
      </w:pPr>
      <w:r>
        <w:rPr>
          <w:sz w:val="24"/>
          <w:szCs w:val="24"/>
        </w:rPr>
        <w:t>Для анализа рынка недвижимости Республики Башкортостан выполнен сбор информации о ценах</w:t>
      </w:r>
      <w:r>
        <w:rPr>
          <w:sz w:val="24"/>
          <w:szCs w:val="24"/>
        </w:rPr>
        <w:t xml:space="preserve"> на земельные участки за период 2017-2018гг. В качестве источников информации использованы сайты Интернет:</w:t>
      </w:r>
    </w:p>
    <w:p w:rsidR="00E85D42" w:rsidRDefault="008113B9">
      <w:pPr>
        <w:ind w:firstLine="709"/>
        <w:jc w:val="both"/>
      </w:pPr>
      <w:r>
        <w:rPr>
          <w:sz w:val="24"/>
          <w:szCs w:val="24"/>
        </w:rPr>
        <w:t xml:space="preserve">- </w:t>
      </w:r>
      <w:hyperlink r:id="rId288" w:history="1">
        <w:r>
          <w:rPr>
            <w:color w:val="0000FF"/>
            <w:sz w:val="24"/>
            <w:szCs w:val="24"/>
            <w:u w:val="single"/>
            <w:lang w:val="en-US"/>
          </w:rPr>
          <w:t>www</w:t>
        </w:r>
        <w:r>
          <w:rPr>
            <w:color w:val="0000FF"/>
            <w:sz w:val="24"/>
            <w:szCs w:val="24"/>
            <w:u w:val="single"/>
          </w:rPr>
          <w:t>.</w:t>
        </w:r>
        <w:r>
          <w:rPr>
            <w:color w:val="0000FF"/>
            <w:sz w:val="24"/>
            <w:szCs w:val="24"/>
            <w:u w:val="single"/>
            <w:lang w:val="en-US"/>
          </w:rPr>
          <w:t>avito</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289" w:history="1">
        <w:r>
          <w:rPr>
            <w:color w:val="0000FF"/>
            <w:sz w:val="24"/>
            <w:szCs w:val="24"/>
            <w:u w:val="single"/>
            <w:lang w:val="en-US"/>
          </w:rPr>
          <w:t>www</w:t>
        </w:r>
        <w:r>
          <w:rPr>
            <w:color w:val="0000FF"/>
            <w:sz w:val="24"/>
            <w:szCs w:val="24"/>
            <w:u w:val="single"/>
          </w:rPr>
          <w:t>.</w:t>
        </w:r>
        <w:r>
          <w:rPr>
            <w:color w:val="0000FF"/>
            <w:sz w:val="24"/>
            <w:szCs w:val="24"/>
            <w:u w:val="single"/>
            <w:lang w:val="en-US"/>
          </w:rPr>
          <w:t>cian</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290" w:history="1">
        <w:r>
          <w:rPr>
            <w:color w:val="0000FF"/>
            <w:sz w:val="24"/>
            <w:szCs w:val="24"/>
            <w:u w:val="single"/>
            <w:lang w:val="en-US"/>
          </w:rPr>
          <w:t>www</w:t>
        </w:r>
        <w:r>
          <w:rPr>
            <w:color w:val="0000FF"/>
            <w:sz w:val="24"/>
            <w:szCs w:val="24"/>
            <w:u w:val="single"/>
          </w:rPr>
          <w:t>.</w:t>
        </w:r>
        <w:r>
          <w:rPr>
            <w:color w:val="0000FF"/>
            <w:sz w:val="24"/>
            <w:szCs w:val="24"/>
            <w:u w:val="single"/>
            <w:lang w:val="en-US"/>
          </w:rPr>
          <w:t>domofond</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291" w:history="1">
        <w:r>
          <w:rPr>
            <w:color w:val="0000FF"/>
            <w:sz w:val="24"/>
            <w:szCs w:val="24"/>
            <w:u w:val="single"/>
            <w:lang w:val="en-US"/>
          </w:rPr>
          <w:t>www</w:t>
        </w:r>
        <w:r>
          <w:rPr>
            <w:color w:val="0000FF"/>
            <w:sz w:val="24"/>
            <w:szCs w:val="24"/>
            <w:u w:val="single"/>
          </w:rPr>
          <w:t>.</w:t>
        </w:r>
        <w:r>
          <w:rPr>
            <w:color w:val="0000FF"/>
            <w:sz w:val="24"/>
            <w:szCs w:val="24"/>
            <w:u w:val="single"/>
            <w:lang w:val="en-US"/>
          </w:rPr>
          <w:t>doski</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292" w:history="1">
        <w:r>
          <w:rPr>
            <w:color w:val="0000FF"/>
            <w:sz w:val="24"/>
            <w:szCs w:val="24"/>
            <w:u w:val="single"/>
            <w:lang w:val="en-US"/>
          </w:rPr>
          <w:t>www</w:t>
        </w:r>
        <w:r>
          <w:rPr>
            <w:color w:val="0000FF"/>
            <w:sz w:val="24"/>
            <w:szCs w:val="24"/>
            <w:u w:val="single"/>
          </w:rPr>
          <w:t>.</w:t>
        </w:r>
        <w:r>
          <w:rPr>
            <w:color w:val="0000FF"/>
            <w:sz w:val="24"/>
            <w:szCs w:val="24"/>
            <w:u w:val="single"/>
            <w:lang w:val="en-US"/>
          </w:rPr>
          <w:t>move</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293" w:history="1">
        <w:r>
          <w:rPr>
            <w:color w:val="0000FF"/>
            <w:sz w:val="24"/>
            <w:szCs w:val="24"/>
            <w:u w:val="single"/>
            <w:lang w:val="en-US"/>
          </w:rPr>
          <w:t>www</w:t>
        </w:r>
        <w:r>
          <w:rPr>
            <w:color w:val="0000FF"/>
            <w:sz w:val="24"/>
            <w:szCs w:val="24"/>
            <w:u w:val="single"/>
          </w:rPr>
          <w:t>.</w:t>
        </w:r>
        <w:r>
          <w:rPr>
            <w:color w:val="0000FF"/>
            <w:sz w:val="24"/>
            <w:szCs w:val="24"/>
            <w:u w:val="single"/>
            <w:lang w:val="en-US"/>
          </w:rPr>
          <w:t>multilisting</w:t>
        </w:r>
        <w:r>
          <w:rPr>
            <w:color w:val="0000FF"/>
            <w:sz w:val="24"/>
            <w:szCs w:val="24"/>
            <w:u w:val="single"/>
          </w:rPr>
          <w:t>.</w:t>
        </w:r>
        <w:r>
          <w:rPr>
            <w:color w:val="0000FF"/>
            <w:sz w:val="24"/>
            <w:szCs w:val="24"/>
            <w:u w:val="single"/>
            <w:lang w:val="en-US"/>
          </w:rPr>
          <w:t>su</w:t>
        </w:r>
      </w:hyperlink>
      <w:r>
        <w:rPr>
          <w:sz w:val="24"/>
          <w:szCs w:val="24"/>
        </w:rPr>
        <w:t>;</w:t>
      </w:r>
    </w:p>
    <w:p w:rsidR="00E85D42" w:rsidRDefault="008113B9">
      <w:pPr>
        <w:ind w:firstLine="709"/>
        <w:jc w:val="both"/>
      </w:pPr>
      <w:r>
        <w:rPr>
          <w:sz w:val="24"/>
          <w:szCs w:val="24"/>
        </w:rPr>
        <w:t xml:space="preserve">- </w:t>
      </w:r>
      <w:hyperlink r:id="rId294" w:history="1">
        <w:r>
          <w:rPr>
            <w:color w:val="0000FF"/>
            <w:sz w:val="24"/>
            <w:szCs w:val="24"/>
            <w:u w:val="single"/>
            <w:lang w:val="en-US"/>
          </w:rPr>
          <w:t>www</w:t>
        </w:r>
        <w:r>
          <w:rPr>
            <w:color w:val="0000FF"/>
            <w:sz w:val="24"/>
            <w:szCs w:val="24"/>
            <w:u w:val="single"/>
          </w:rPr>
          <w:t>.</w:t>
        </w:r>
        <w:r>
          <w:rPr>
            <w:color w:val="0000FF"/>
            <w:sz w:val="24"/>
            <w:szCs w:val="24"/>
            <w:u w:val="single"/>
            <w:lang w:val="en-US"/>
          </w:rPr>
          <w:t>n</w:t>
        </w:r>
        <w:r>
          <w:rPr>
            <w:color w:val="0000FF"/>
            <w:sz w:val="24"/>
            <w:szCs w:val="24"/>
            <w:u w:val="single"/>
          </w:rPr>
          <w:t>002.</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295" w:history="1">
        <w:r>
          <w:rPr>
            <w:color w:val="0000FF"/>
            <w:sz w:val="24"/>
            <w:szCs w:val="24"/>
            <w:u w:val="single"/>
            <w:lang w:val="en-US"/>
          </w:rPr>
          <w:t>www</w:t>
        </w:r>
        <w:r>
          <w:rPr>
            <w:color w:val="0000FF"/>
            <w:sz w:val="24"/>
            <w:szCs w:val="24"/>
            <w:u w:val="single"/>
          </w:rPr>
          <w:t>.</w:t>
        </w:r>
        <w:r>
          <w:rPr>
            <w:color w:val="0000FF"/>
            <w:sz w:val="24"/>
            <w:szCs w:val="24"/>
            <w:u w:val="single"/>
            <w:lang w:val="en-US"/>
          </w:rPr>
          <w:t>realty</w:t>
        </w:r>
        <w:r>
          <w:rPr>
            <w:color w:val="0000FF"/>
            <w:sz w:val="24"/>
            <w:szCs w:val="24"/>
            <w:u w:val="single"/>
          </w:rPr>
          <w:t>.</w:t>
        </w:r>
        <w:r>
          <w:rPr>
            <w:color w:val="0000FF"/>
            <w:sz w:val="24"/>
            <w:szCs w:val="24"/>
            <w:u w:val="single"/>
            <w:lang w:val="en-US"/>
          </w:rPr>
          <w:t>yandex</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296" w:history="1">
        <w:r>
          <w:rPr>
            <w:color w:val="0000FF"/>
            <w:sz w:val="24"/>
            <w:szCs w:val="24"/>
            <w:u w:val="single"/>
            <w:lang w:val="en-US"/>
          </w:rPr>
          <w:t>www</w:t>
        </w:r>
        <w:r>
          <w:rPr>
            <w:color w:val="0000FF"/>
            <w:sz w:val="24"/>
            <w:szCs w:val="24"/>
            <w:u w:val="single"/>
          </w:rPr>
          <w:t>.</w:t>
        </w:r>
        <w:r>
          <w:rPr>
            <w:color w:val="0000FF"/>
            <w:sz w:val="24"/>
            <w:szCs w:val="24"/>
            <w:u w:val="single"/>
            <w:lang w:val="en-US"/>
          </w:rPr>
          <w:t>rosrealt</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297" w:history="1">
        <w:r>
          <w:rPr>
            <w:color w:val="0000FF"/>
            <w:sz w:val="24"/>
            <w:szCs w:val="24"/>
            <w:u w:val="single"/>
          </w:rPr>
          <w:t>www.ruads.org</w:t>
        </w:r>
      </w:hyperlink>
      <w:r>
        <w:rPr>
          <w:sz w:val="24"/>
          <w:szCs w:val="24"/>
        </w:rPr>
        <w:t>;</w:t>
      </w:r>
    </w:p>
    <w:p w:rsidR="00E85D42" w:rsidRDefault="008113B9">
      <w:pPr>
        <w:ind w:firstLine="709"/>
        <w:jc w:val="both"/>
      </w:pPr>
      <w:r>
        <w:rPr>
          <w:sz w:val="24"/>
          <w:szCs w:val="24"/>
        </w:rPr>
        <w:t xml:space="preserve">- </w:t>
      </w:r>
      <w:r>
        <w:rPr>
          <w:sz w:val="24"/>
          <w:szCs w:val="24"/>
          <w:u w:val="single"/>
        </w:rPr>
        <w:t>www.sales.lot-online.ru;</w:t>
      </w:r>
    </w:p>
    <w:p w:rsidR="00E85D42" w:rsidRDefault="008113B9">
      <w:pPr>
        <w:ind w:firstLine="709"/>
        <w:jc w:val="both"/>
      </w:pPr>
      <w:r>
        <w:rPr>
          <w:sz w:val="24"/>
          <w:szCs w:val="24"/>
        </w:rPr>
        <w:t xml:space="preserve">- </w:t>
      </w:r>
      <w:hyperlink r:id="rId298" w:history="1">
        <w:r>
          <w:rPr>
            <w:color w:val="0000FF"/>
            <w:sz w:val="24"/>
            <w:szCs w:val="24"/>
            <w:u w:val="single"/>
            <w:lang w:val="en-US"/>
          </w:rPr>
          <w:t>www</w:t>
        </w:r>
        <w:r>
          <w:rPr>
            <w:color w:val="0000FF"/>
            <w:sz w:val="24"/>
            <w:szCs w:val="24"/>
            <w:u w:val="single"/>
          </w:rPr>
          <w:t>.</w:t>
        </w:r>
        <w:r>
          <w:rPr>
            <w:color w:val="0000FF"/>
            <w:sz w:val="24"/>
            <w:szCs w:val="24"/>
            <w:u w:val="single"/>
            <w:lang w:val="en-US"/>
          </w:rPr>
          <w:t>sindom</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299" w:history="1">
        <w:r>
          <w:rPr>
            <w:color w:val="0000FF"/>
            <w:sz w:val="24"/>
            <w:szCs w:val="24"/>
            <w:u w:val="single"/>
            <w:lang w:val="en-US"/>
          </w:rPr>
          <w:t>www</w:t>
        </w:r>
        <w:r>
          <w:rPr>
            <w:color w:val="0000FF"/>
            <w:sz w:val="24"/>
            <w:szCs w:val="24"/>
            <w:u w:val="single"/>
          </w:rPr>
          <w:t>.</w:t>
        </w:r>
        <w:r>
          <w:rPr>
            <w:color w:val="0000FF"/>
            <w:sz w:val="24"/>
            <w:szCs w:val="24"/>
            <w:u w:val="single"/>
            <w:lang w:val="en-US"/>
          </w:rPr>
          <w:t>torgi</w:t>
        </w:r>
        <w:r>
          <w:rPr>
            <w:color w:val="0000FF"/>
            <w:sz w:val="24"/>
            <w:szCs w:val="24"/>
            <w:u w:val="single"/>
          </w:rPr>
          <w:t>.</w:t>
        </w:r>
        <w:r>
          <w:rPr>
            <w:color w:val="0000FF"/>
            <w:sz w:val="24"/>
            <w:szCs w:val="24"/>
            <w:u w:val="single"/>
            <w:lang w:val="en-US"/>
          </w:rPr>
          <w:t>gov</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pPr>
      <w:r>
        <w:rPr>
          <w:sz w:val="24"/>
          <w:szCs w:val="24"/>
        </w:rPr>
        <w:t xml:space="preserve">- </w:t>
      </w:r>
      <w:hyperlink r:id="rId300" w:history="1">
        <w:r>
          <w:rPr>
            <w:color w:val="0000FF"/>
            <w:sz w:val="24"/>
            <w:szCs w:val="24"/>
            <w:u w:val="single"/>
            <w:lang w:val="en-US"/>
          </w:rPr>
          <w:t>www</w:t>
        </w:r>
        <w:r>
          <w:rPr>
            <w:color w:val="0000FF"/>
            <w:sz w:val="24"/>
            <w:szCs w:val="24"/>
            <w:u w:val="single"/>
          </w:rPr>
          <w:t>.</w:t>
        </w:r>
        <w:r>
          <w:rPr>
            <w:color w:val="0000FF"/>
            <w:sz w:val="24"/>
            <w:szCs w:val="24"/>
            <w:u w:val="single"/>
            <w:lang w:val="en-US"/>
          </w:rPr>
          <w:t>unibo</w:t>
        </w:r>
        <w:r>
          <w:rPr>
            <w:color w:val="0000FF"/>
            <w:sz w:val="24"/>
            <w:szCs w:val="24"/>
            <w:u w:val="single"/>
          </w:rPr>
          <w:t>.</w:t>
        </w:r>
        <w:r>
          <w:rPr>
            <w:color w:val="0000FF"/>
            <w:sz w:val="24"/>
            <w:szCs w:val="24"/>
            <w:u w:val="single"/>
            <w:lang w:val="en-US"/>
          </w:rPr>
          <w:t>ru</w:t>
        </w:r>
      </w:hyperlink>
      <w:r>
        <w:rPr>
          <w:sz w:val="24"/>
          <w:szCs w:val="24"/>
        </w:rPr>
        <w:t>.</w:t>
      </w:r>
    </w:p>
    <w:p w:rsidR="00E85D42" w:rsidRDefault="008113B9">
      <w:pPr>
        <w:ind w:firstLine="709"/>
        <w:jc w:val="both"/>
        <w:rPr>
          <w:sz w:val="24"/>
          <w:szCs w:val="24"/>
        </w:rPr>
      </w:pPr>
      <w:r>
        <w:rPr>
          <w:sz w:val="24"/>
          <w:szCs w:val="24"/>
        </w:rPr>
        <w:t>Всего проанализировано 5771 объявление о продаже объектов недвижимости на территории Республики Башкортостан, в том числе и незастроенных</w:t>
      </w:r>
      <w:r>
        <w:rPr>
          <w:sz w:val="24"/>
          <w:szCs w:val="24"/>
        </w:rPr>
        <w:t xml:space="preserve"> земельных участков, под возможное размещение объектов различных видов разрешенного использования. Кроме того, рассмотрена информация о рыночных ценах сделок (ценах предложений) на объекты недвижимости, реализованных органами местного самоуправления посред</w:t>
      </w:r>
      <w:r>
        <w:rPr>
          <w:sz w:val="24"/>
          <w:szCs w:val="24"/>
        </w:rPr>
        <w:t>ством проведения аукционов (торгов).</w:t>
      </w:r>
    </w:p>
    <w:p w:rsidR="00E85D42" w:rsidRDefault="008113B9">
      <w:pPr>
        <w:ind w:firstLine="709"/>
        <w:jc w:val="both"/>
        <w:rPr>
          <w:sz w:val="24"/>
          <w:szCs w:val="24"/>
        </w:rPr>
      </w:pPr>
      <w:r>
        <w:rPr>
          <w:sz w:val="24"/>
          <w:szCs w:val="24"/>
        </w:rPr>
        <w:t>При анализе рыночной информации исключены следующие объекты-аналоги:</w:t>
      </w:r>
    </w:p>
    <w:p w:rsidR="00E85D42" w:rsidRDefault="008113B9">
      <w:pPr>
        <w:ind w:firstLine="709"/>
        <w:jc w:val="both"/>
        <w:rPr>
          <w:sz w:val="24"/>
          <w:szCs w:val="24"/>
        </w:rPr>
      </w:pPr>
      <w:r>
        <w:rPr>
          <w:sz w:val="24"/>
          <w:szCs w:val="24"/>
        </w:rPr>
        <w:t>1. Повторяющиеся объекты-аналоги.</w:t>
      </w:r>
    </w:p>
    <w:p w:rsidR="00E85D42" w:rsidRDefault="008113B9">
      <w:pPr>
        <w:ind w:firstLine="709"/>
        <w:jc w:val="both"/>
        <w:rPr>
          <w:sz w:val="24"/>
          <w:szCs w:val="24"/>
        </w:rPr>
      </w:pPr>
      <w:r>
        <w:rPr>
          <w:sz w:val="24"/>
          <w:szCs w:val="24"/>
        </w:rPr>
        <w:t>2. С самой высокой и самой низкой ценой.</w:t>
      </w:r>
    </w:p>
    <w:p w:rsidR="00E85D42" w:rsidRDefault="00E85D42">
      <w:pPr>
        <w:ind w:firstLine="709"/>
        <w:jc w:val="both"/>
        <w:rPr>
          <w:sz w:val="28"/>
          <w:szCs w:val="28"/>
        </w:rPr>
      </w:pPr>
    </w:p>
    <w:p w:rsidR="00000000" w:rsidRDefault="008113B9">
      <w:pPr>
        <w:sectPr w:rsidR="00000000">
          <w:type w:val="continuous"/>
          <w:pgSz w:w="11906" w:h="16838"/>
          <w:pgMar w:top="1134" w:right="851"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titlePg/>
        </w:sectPr>
      </w:pPr>
    </w:p>
    <w:bookmarkEnd w:id="62"/>
    <w:bookmarkEnd w:id="63"/>
    <w:bookmarkEnd w:id="113"/>
    <w:p w:rsidR="00E85D42" w:rsidRDefault="00E85D42">
      <w:pPr>
        <w:ind w:firstLine="709"/>
        <w:jc w:val="both"/>
        <w:rPr>
          <w:b/>
          <w:color w:val="000000"/>
          <w:sz w:val="24"/>
        </w:rPr>
      </w:pPr>
    </w:p>
    <w:p w:rsidR="00E85D42" w:rsidRDefault="008113B9">
      <w:pPr>
        <w:keepNext/>
        <w:tabs>
          <w:tab w:val="left" w:pos="851"/>
        </w:tabs>
        <w:ind w:left="864" w:firstLine="709"/>
        <w:jc w:val="both"/>
        <w:outlineLvl w:val="3"/>
        <w:rPr>
          <w:b/>
          <w:iCs/>
          <w:sz w:val="24"/>
        </w:rPr>
      </w:pPr>
      <w:bookmarkStart w:id="121" w:name="_Toc11934889"/>
      <w:r>
        <w:rPr>
          <w:b/>
          <w:iCs/>
          <w:sz w:val="24"/>
        </w:rPr>
        <w:t xml:space="preserve">3.1.6. Анализ информации о рынке недвижимости земельных участков </w:t>
      </w:r>
      <w:r>
        <w:rPr>
          <w:b/>
          <w:iCs/>
          <w:sz w:val="24"/>
        </w:rPr>
        <w:t>Республики Башкортостан</w:t>
      </w:r>
      <w:bookmarkEnd w:id="121"/>
    </w:p>
    <w:p w:rsidR="00E85D42" w:rsidRDefault="008113B9">
      <w:pPr>
        <w:ind w:firstLine="709"/>
        <w:jc w:val="both"/>
        <w:rPr>
          <w:color w:val="000000"/>
          <w:sz w:val="24"/>
        </w:rPr>
      </w:pPr>
      <w:r>
        <w:rPr>
          <w:color w:val="000000"/>
          <w:sz w:val="24"/>
        </w:rPr>
        <w:t>В зависимости от состояния земельного участка, рынок недвижимости можно разделить на:</w:t>
      </w:r>
    </w:p>
    <w:p w:rsidR="00E85D42" w:rsidRDefault="008113B9">
      <w:pPr>
        <w:ind w:firstLine="709"/>
        <w:jc w:val="both"/>
        <w:rPr>
          <w:color w:val="000000"/>
          <w:sz w:val="24"/>
        </w:rPr>
      </w:pPr>
      <w:r>
        <w:rPr>
          <w:color w:val="000000"/>
          <w:sz w:val="24"/>
        </w:rPr>
        <w:t>1. Застроенные земельные участки.</w:t>
      </w:r>
    </w:p>
    <w:p w:rsidR="00E85D42" w:rsidRDefault="008113B9">
      <w:pPr>
        <w:ind w:firstLine="709"/>
        <w:jc w:val="both"/>
        <w:rPr>
          <w:color w:val="000000"/>
          <w:sz w:val="24"/>
        </w:rPr>
      </w:pPr>
      <w:r>
        <w:rPr>
          <w:color w:val="000000"/>
          <w:sz w:val="24"/>
        </w:rPr>
        <w:t>2. Незастроенные земельные участки, пригодные для последующей застройки.</w:t>
      </w:r>
    </w:p>
    <w:p w:rsidR="00E85D42" w:rsidRDefault="008113B9">
      <w:pPr>
        <w:ind w:firstLine="709"/>
        <w:jc w:val="both"/>
        <w:rPr>
          <w:color w:val="000000"/>
          <w:sz w:val="24"/>
        </w:rPr>
      </w:pPr>
      <w:r>
        <w:rPr>
          <w:color w:val="000000"/>
          <w:sz w:val="24"/>
        </w:rPr>
        <w:t xml:space="preserve">3. Незастроенные земельные участки, не </w:t>
      </w:r>
      <w:r>
        <w:rPr>
          <w:color w:val="000000"/>
          <w:sz w:val="24"/>
        </w:rPr>
        <w:t>пригодные для последующей застройки.</w:t>
      </w:r>
    </w:p>
    <w:p w:rsidR="00E85D42" w:rsidRDefault="008113B9">
      <w:pPr>
        <w:ind w:firstLine="709"/>
        <w:jc w:val="both"/>
        <w:rPr>
          <w:color w:val="000000"/>
          <w:sz w:val="24"/>
        </w:rPr>
      </w:pPr>
      <w:r>
        <w:rPr>
          <w:color w:val="000000"/>
          <w:sz w:val="24"/>
        </w:rPr>
        <w:t>В зависимости от характера полезности недвижимости (ее способности приносить доход) подразделяются:</w:t>
      </w:r>
    </w:p>
    <w:p w:rsidR="00E85D42" w:rsidRDefault="008113B9">
      <w:pPr>
        <w:ind w:firstLine="709"/>
        <w:jc w:val="both"/>
        <w:rPr>
          <w:color w:val="000000"/>
          <w:sz w:val="24"/>
        </w:rPr>
      </w:pPr>
      <w:r>
        <w:rPr>
          <w:color w:val="000000"/>
          <w:sz w:val="24"/>
        </w:rPr>
        <w:t>1. Доходная недвижимость.</w:t>
      </w:r>
    </w:p>
    <w:p w:rsidR="00E85D42" w:rsidRDefault="008113B9">
      <w:pPr>
        <w:ind w:firstLine="709"/>
        <w:jc w:val="both"/>
        <w:rPr>
          <w:color w:val="000000"/>
          <w:sz w:val="24"/>
        </w:rPr>
      </w:pPr>
      <w:r>
        <w:rPr>
          <w:color w:val="000000"/>
          <w:sz w:val="24"/>
        </w:rPr>
        <w:t>2. Условно доходная недвижимость.</w:t>
      </w:r>
    </w:p>
    <w:p w:rsidR="00E85D42" w:rsidRDefault="008113B9">
      <w:pPr>
        <w:ind w:firstLine="709"/>
        <w:jc w:val="both"/>
        <w:rPr>
          <w:color w:val="000000"/>
          <w:sz w:val="24"/>
        </w:rPr>
      </w:pPr>
      <w:r>
        <w:rPr>
          <w:color w:val="000000"/>
          <w:sz w:val="24"/>
        </w:rPr>
        <w:t>3. Бездоходная недвижимость.</w:t>
      </w:r>
    </w:p>
    <w:p w:rsidR="00E85D42" w:rsidRDefault="008113B9">
      <w:pPr>
        <w:ind w:firstLine="709"/>
        <w:jc w:val="both"/>
        <w:rPr>
          <w:color w:val="000000"/>
          <w:sz w:val="24"/>
        </w:rPr>
      </w:pPr>
      <w:r>
        <w:rPr>
          <w:color w:val="000000"/>
          <w:sz w:val="24"/>
        </w:rPr>
        <w:t>В зависимости от степени предс</w:t>
      </w:r>
      <w:r>
        <w:rPr>
          <w:color w:val="000000"/>
          <w:sz w:val="24"/>
        </w:rPr>
        <w:t>тавленности объектов:</w:t>
      </w:r>
    </w:p>
    <w:p w:rsidR="00E85D42" w:rsidRDefault="008113B9">
      <w:pPr>
        <w:ind w:firstLine="709"/>
        <w:jc w:val="both"/>
        <w:rPr>
          <w:color w:val="000000"/>
          <w:sz w:val="24"/>
        </w:rPr>
      </w:pPr>
      <w:r>
        <w:rPr>
          <w:color w:val="000000"/>
          <w:sz w:val="24"/>
        </w:rPr>
        <w:t>1. Уникальные объекты.</w:t>
      </w:r>
    </w:p>
    <w:p w:rsidR="00E85D42" w:rsidRDefault="008113B9">
      <w:pPr>
        <w:ind w:firstLine="709"/>
        <w:jc w:val="both"/>
        <w:rPr>
          <w:color w:val="000000"/>
          <w:sz w:val="24"/>
        </w:rPr>
      </w:pPr>
      <w:r>
        <w:rPr>
          <w:color w:val="000000"/>
          <w:sz w:val="24"/>
        </w:rPr>
        <w:t>2. Редкие объекты.</w:t>
      </w:r>
    </w:p>
    <w:p w:rsidR="00E85D42" w:rsidRDefault="008113B9">
      <w:pPr>
        <w:ind w:firstLine="709"/>
        <w:jc w:val="both"/>
        <w:rPr>
          <w:color w:val="000000"/>
          <w:sz w:val="24"/>
        </w:rPr>
      </w:pPr>
      <w:r>
        <w:rPr>
          <w:color w:val="000000"/>
          <w:sz w:val="24"/>
        </w:rPr>
        <w:t>3. Широко распространенные объекты.</w:t>
      </w:r>
    </w:p>
    <w:p w:rsidR="00E85D42" w:rsidRDefault="008113B9">
      <w:pPr>
        <w:ind w:firstLine="709"/>
        <w:jc w:val="both"/>
        <w:rPr>
          <w:color w:val="000000"/>
          <w:sz w:val="24"/>
        </w:rPr>
      </w:pPr>
      <w:r>
        <w:rPr>
          <w:color w:val="000000"/>
          <w:sz w:val="24"/>
        </w:rPr>
        <w:t> В зависимости от экономической активности регионов:</w:t>
      </w:r>
    </w:p>
    <w:p w:rsidR="00E85D42" w:rsidRDefault="008113B9">
      <w:pPr>
        <w:jc w:val="both"/>
        <w:rPr>
          <w:color w:val="000000"/>
          <w:sz w:val="24"/>
        </w:rPr>
      </w:pPr>
      <w:r>
        <w:rPr>
          <w:color w:val="000000"/>
          <w:sz w:val="24"/>
        </w:rPr>
        <w:t>1. Активные рынки недвижимости.</w:t>
      </w:r>
    </w:p>
    <w:p w:rsidR="00E85D42" w:rsidRDefault="008113B9">
      <w:pPr>
        <w:jc w:val="both"/>
        <w:rPr>
          <w:color w:val="000000"/>
          <w:sz w:val="24"/>
        </w:rPr>
      </w:pPr>
      <w:r>
        <w:rPr>
          <w:color w:val="000000"/>
          <w:sz w:val="24"/>
        </w:rPr>
        <w:t>2. Неактивные рынки недвижимости.</w:t>
      </w:r>
    </w:p>
    <w:p w:rsidR="00E85D42" w:rsidRDefault="008113B9">
      <w:pPr>
        <w:jc w:val="both"/>
        <w:rPr>
          <w:color w:val="000000"/>
          <w:sz w:val="24"/>
        </w:rPr>
      </w:pPr>
      <w:r>
        <w:rPr>
          <w:color w:val="000000"/>
          <w:sz w:val="24"/>
        </w:rPr>
        <w:t xml:space="preserve">В результате исследования полученной </w:t>
      </w:r>
      <w:r>
        <w:rPr>
          <w:color w:val="000000"/>
          <w:sz w:val="24"/>
        </w:rPr>
        <w:t>информации установлено, что рынок земельных участков Республики Башкортостан включает в себя следующие сегменты:</w:t>
      </w:r>
    </w:p>
    <w:p w:rsidR="00E85D42" w:rsidRDefault="008113B9">
      <w:pPr>
        <w:numPr>
          <w:ilvl w:val="6"/>
          <w:numId w:val="19"/>
        </w:numPr>
        <w:spacing w:before="75" w:after="75"/>
        <w:ind w:left="-142" w:firstLine="709"/>
        <w:jc w:val="both"/>
        <w:textAlignment w:val="top"/>
        <w:rPr>
          <w:color w:val="000000"/>
          <w:sz w:val="24"/>
        </w:rPr>
      </w:pPr>
      <w:r>
        <w:rPr>
          <w:color w:val="000000"/>
          <w:sz w:val="24"/>
        </w:rPr>
        <w:t>Жилая застройка (среднеэтажная и многоэтажная).</w:t>
      </w:r>
    </w:p>
    <w:p w:rsidR="00E85D42" w:rsidRDefault="008113B9">
      <w:pPr>
        <w:numPr>
          <w:ilvl w:val="6"/>
          <w:numId w:val="19"/>
        </w:numPr>
        <w:spacing w:before="75" w:after="75"/>
        <w:ind w:left="-142" w:firstLine="709"/>
        <w:jc w:val="both"/>
        <w:textAlignment w:val="top"/>
        <w:rPr>
          <w:color w:val="000000"/>
          <w:sz w:val="24"/>
        </w:rPr>
      </w:pPr>
      <w:r>
        <w:rPr>
          <w:color w:val="000000"/>
          <w:sz w:val="24"/>
        </w:rPr>
        <w:t>Садоводческое, огородническое и дачное использование.</w:t>
      </w:r>
    </w:p>
    <w:p w:rsidR="00E85D42" w:rsidRDefault="008113B9">
      <w:pPr>
        <w:numPr>
          <w:ilvl w:val="6"/>
          <w:numId w:val="19"/>
        </w:numPr>
        <w:spacing w:before="75" w:after="75"/>
        <w:ind w:left="-142" w:firstLine="709"/>
        <w:jc w:val="both"/>
        <w:textAlignment w:val="top"/>
        <w:rPr>
          <w:color w:val="000000"/>
          <w:sz w:val="24"/>
        </w:rPr>
      </w:pPr>
      <w:r>
        <w:rPr>
          <w:color w:val="000000"/>
          <w:sz w:val="24"/>
        </w:rPr>
        <w:t>Транспорт.</w:t>
      </w:r>
    </w:p>
    <w:p w:rsidR="00E85D42" w:rsidRDefault="008113B9">
      <w:pPr>
        <w:numPr>
          <w:ilvl w:val="6"/>
          <w:numId w:val="19"/>
        </w:numPr>
        <w:spacing w:before="75" w:after="75"/>
        <w:ind w:left="-142" w:firstLine="709"/>
        <w:jc w:val="both"/>
        <w:textAlignment w:val="top"/>
        <w:rPr>
          <w:color w:val="000000"/>
          <w:sz w:val="24"/>
        </w:rPr>
      </w:pPr>
      <w:r>
        <w:rPr>
          <w:color w:val="000000"/>
          <w:sz w:val="24"/>
        </w:rPr>
        <w:t>Предпринимательство.</w:t>
      </w:r>
    </w:p>
    <w:p w:rsidR="00E85D42" w:rsidRDefault="008113B9">
      <w:pPr>
        <w:numPr>
          <w:ilvl w:val="6"/>
          <w:numId w:val="19"/>
        </w:numPr>
        <w:spacing w:before="75" w:after="75"/>
        <w:ind w:left="-142" w:firstLine="709"/>
        <w:jc w:val="both"/>
        <w:textAlignment w:val="top"/>
        <w:rPr>
          <w:color w:val="000000"/>
          <w:sz w:val="24"/>
        </w:rPr>
      </w:pPr>
      <w:r>
        <w:rPr>
          <w:color w:val="000000"/>
          <w:sz w:val="24"/>
        </w:rPr>
        <w:t>Отдых (ре</w:t>
      </w:r>
      <w:r>
        <w:rPr>
          <w:color w:val="000000"/>
          <w:sz w:val="24"/>
        </w:rPr>
        <w:t>креация).</w:t>
      </w:r>
    </w:p>
    <w:p w:rsidR="00E85D42" w:rsidRDefault="008113B9">
      <w:pPr>
        <w:numPr>
          <w:ilvl w:val="6"/>
          <w:numId w:val="19"/>
        </w:numPr>
        <w:spacing w:before="75" w:after="75"/>
        <w:ind w:left="-142" w:firstLine="709"/>
        <w:jc w:val="both"/>
        <w:textAlignment w:val="top"/>
        <w:rPr>
          <w:color w:val="000000"/>
          <w:sz w:val="24"/>
        </w:rPr>
      </w:pPr>
      <w:r>
        <w:rPr>
          <w:color w:val="000000"/>
          <w:sz w:val="24"/>
        </w:rPr>
        <w:t>Общественное использование.</w:t>
      </w:r>
    </w:p>
    <w:p w:rsidR="00E85D42" w:rsidRDefault="008113B9">
      <w:pPr>
        <w:numPr>
          <w:ilvl w:val="6"/>
          <w:numId w:val="19"/>
        </w:numPr>
        <w:spacing w:before="75" w:after="75"/>
        <w:ind w:left="-142" w:firstLine="709"/>
        <w:jc w:val="both"/>
        <w:textAlignment w:val="top"/>
        <w:rPr>
          <w:color w:val="000000"/>
          <w:sz w:val="24"/>
        </w:rPr>
      </w:pPr>
      <w:r>
        <w:rPr>
          <w:color w:val="000000"/>
          <w:sz w:val="24"/>
        </w:rPr>
        <w:t>Производственная деятельность.</w:t>
      </w:r>
    </w:p>
    <w:p w:rsidR="00E85D42" w:rsidRDefault="008113B9">
      <w:pPr>
        <w:numPr>
          <w:ilvl w:val="6"/>
          <w:numId w:val="19"/>
        </w:numPr>
        <w:spacing w:before="75" w:after="75"/>
        <w:ind w:left="-142" w:firstLine="709"/>
        <w:jc w:val="both"/>
        <w:textAlignment w:val="top"/>
        <w:rPr>
          <w:color w:val="000000"/>
          <w:sz w:val="24"/>
        </w:rPr>
      </w:pPr>
      <w:r>
        <w:rPr>
          <w:color w:val="000000"/>
          <w:sz w:val="24"/>
        </w:rPr>
        <w:t>Сельскохозяйственное использование.</w:t>
      </w:r>
    </w:p>
    <w:p w:rsidR="00E85D42" w:rsidRDefault="00E85D42">
      <w:pPr>
        <w:jc w:val="center"/>
        <w:rPr>
          <w:sz w:val="24"/>
        </w:rPr>
      </w:pPr>
    </w:p>
    <w:p w:rsidR="00E85D42" w:rsidRDefault="008113B9">
      <w:pPr>
        <w:jc w:val="center"/>
        <w:rPr>
          <w:sz w:val="24"/>
        </w:rPr>
      </w:pPr>
      <w:r>
        <w:rPr>
          <w:sz w:val="24"/>
        </w:rPr>
        <w:t>Информация об удельных ценах предложений к продаже на рынке земельных участков Республики Башкортостан</w:t>
      </w:r>
    </w:p>
    <w:p w:rsidR="00E85D42" w:rsidRDefault="008113B9">
      <w:pPr>
        <w:pStyle w:val="ad"/>
        <w:keepNext/>
        <w:jc w:val="right"/>
        <w:rPr>
          <w:b w:val="0"/>
          <w:i w:val="0"/>
          <w:sz w:val="24"/>
          <w:szCs w:val="24"/>
        </w:rPr>
      </w:pPr>
      <w:r>
        <w:rPr>
          <w:b w:val="0"/>
          <w:i w:val="0"/>
          <w:sz w:val="24"/>
          <w:szCs w:val="24"/>
        </w:rPr>
        <w:t>Таблица 3.1.6.1</w:t>
      </w:r>
    </w:p>
    <w:tbl>
      <w:tblPr>
        <w:tblW w:w="5000" w:type="pct"/>
        <w:tblCellMar>
          <w:left w:w="10" w:type="dxa"/>
          <w:right w:w="10" w:type="dxa"/>
        </w:tblCellMar>
        <w:tblLook w:val="04A0" w:firstRow="1" w:lastRow="0" w:firstColumn="1" w:lastColumn="0" w:noHBand="0" w:noVBand="1"/>
      </w:tblPr>
      <w:tblGrid>
        <w:gridCol w:w="4567"/>
        <w:gridCol w:w="2392"/>
        <w:gridCol w:w="2425"/>
      </w:tblGrid>
      <w:tr w:rsidR="00E85D42">
        <w:tblPrEx>
          <w:tblCellMar>
            <w:top w:w="0" w:type="dxa"/>
            <w:bottom w:w="0" w:type="dxa"/>
          </w:tblCellMar>
        </w:tblPrEx>
        <w:trPr>
          <w:trHeight w:val="390"/>
          <w:tblHeader/>
        </w:trPr>
        <w:tc>
          <w:tcPr>
            <w:tcW w:w="4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Названия строк</w:t>
            </w:r>
          </w:p>
        </w:tc>
        <w:tc>
          <w:tcPr>
            <w:tcW w:w="2392"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 xml:space="preserve">Минимальное </w:t>
            </w:r>
            <w:r>
              <w:rPr>
                <w:color w:val="000000"/>
                <w:sz w:val="24"/>
              </w:rPr>
              <w:t>значение удельной цены, руб./ кв. м</w:t>
            </w:r>
          </w:p>
        </w:tc>
        <w:tc>
          <w:tcPr>
            <w:tcW w:w="2425"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Максимальное значение удельной цены, руб./ кв. м</w:t>
            </w:r>
          </w:p>
        </w:tc>
      </w:tr>
      <w:tr w:rsidR="00E85D42">
        <w:tblPrEx>
          <w:tblCellMar>
            <w:top w:w="0" w:type="dxa"/>
            <w:bottom w:w="0" w:type="dxa"/>
          </w:tblCellMar>
        </w:tblPrEx>
        <w:trPr>
          <w:trHeight w:val="240"/>
        </w:trPr>
        <w:tc>
          <w:tcPr>
            <w:tcW w:w="4567"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rPr>
                <w:color w:val="000000"/>
                <w:sz w:val="24"/>
              </w:rPr>
            </w:pPr>
            <w:r>
              <w:rPr>
                <w:color w:val="000000"/>
                <w:sz w:val="24"/>
              </w:rPr>
              <w:t>Малоэтажная застройка, индивидуальное жилищное строительство, личное подсобное хозяйство</w:t>
            </w:r>
          </w:p>
        </w:tc>
        <w:tc>
          <w:tcPr>
            <w:tcW w:w="239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10</w:t>
            </w:r>
          </w:p>
        </w:tc>
        <w:tc>
          <w:tcPr>
            <w:tcW w:w="242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5618</w:t>
            </w:r>
          </w:p>
        </w:tc>
      </w:tr>
      <w:tr w:rsidR="00E85D42">
        <w:tblPrEx>
          <w:tblCellMar>
            <w:top w:w="0" w:type="dxa"/>
            <w:bottom w:w="0" w:type="dxa"/>
          </w:tblCellMar>
        </w:tblPrEx>
        <w:trPr>
          <w:trHeight w:val="240"/>
        </w:trPr>
        <w:tc>
          <w:tcPr>
            <w:tcW w:w="4567"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rPr>
                <w:color w:val="000000"/>
                <w:sz w:val="24"/>
              </w:rPr>
            </w:pPr>
            <w:r>
              <w:rPr>
                <w:color w:val="000000"/>
                <w:sz w:val="24"/>
              </w:rPr>
              <w:t>Садоводческое, огородническое и дачное использование,</w:t>
            </w:r>
          </w:p>
        </w:tc>
        <w:tc>
          <w:tcPr>
            <w:tcW w:w="239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15</w:t>
            </w:r>
          </w:p>
        </w:tc>
        <w:tc>
          <w:tcPr>
            <w:tcW w:w="242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1743</w:t>
            </w:r>
          </w:p>
        </w:tc>
      </w:tr>
      <w:tr w:rsidR="00E85D42">
        <w:tblPrEx>
          <w:tblCellMar>
            <w:top w:w="0" w:type="dxa"/>
            <w:bottom w:w="0" w:type="dxa"/>
          </w:tblCellMar>
        </w:tblPrEx>
        <w:trPr>
          <w:trHeight w:val="240"/>
        </w:trPr>
        <w:tc>
          <w:tcPr>
            <w:tcW w:w="4567"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rPr>
                <w:color w:val="000000"/>
                <w:sz w:val="24"/>
              </w:rPr>
            </w:pPr>
            <w:r>
              <w:rPr>
                <w:color w:val="000000"/>
                <w:sz w:val="24"/>
              </w:rPr>
              <w:t>Транспорт</w:t>
            </w:r>
          </w:p>
        </w:tc>
        <w:tc>
          <w:tcPr>
            <w:tcW w:w="239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292</w:t>
            </w:r>
          </w:p>
        </w:tc>
        <w:tc>
          <w:tcPr>
            <w:tcW w:w="242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9706</w:t>
            </w:r>
          </w:p>
        </w:tc>
      </w:tr>
      <w:tr w:rsidR="00E85D42">
        <w:tblPrEx>
          <w:tblCellMar>
            <w:top w:w="0" w:type="dxa"/>
            <w:bottom w:w="0" w:type="dxa"/>
          </w:tblCellMar>
        </w:tblPrEx>
        <w:trPr>
          <w:trHeight w:val="240"/>
        </w:trPr>
        <w:tc>
          <w:tcPr>
            <w:tcW w:w="4567"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rPr>
                <w:color w:val="000000"/>
                <w:sz w:val="24"/>
              </w:rPr>
            </w:pPr>
            <w:r>
              <w:rPr>
                <w:color w:val="000000"/>
                <w:sz w:val="24"/>
              </w:rPr>
              <w:t>Предпринимательство</w:t>
            </w:r>
          </w:p>
        </w:tc>
        <w:tc>
          <w:tcPr>
            <w:tcW w:w="239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3</w:t>
            </w:r>
          </w:p>
        </w:tc>
        <w:tc>
          <w:tcPr>
            <w:tcW w:w="242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pPr>
            <w:r>
              <w:rPr>
                <w:sz w:val="24"/>
              </w:rPr>
              <w:t>96 429</w:t>
            </w:r>
          </w:p>
        </w:tc>
      </w:tr>
      <w:tr w:rsidR="00E85D42">
        <w:tblPrEx>
          <w:tblCellMar>
            <w:top w:w="0" w:type="dxa"/>
            <w:bottom w:w="0" w:type="dxa"/>
          </w:tblCellMar>
        </w:tblPrEx>
        <w:trPr>
          <w:trHeight w:val="240"/>
        </w:trPr>
        <w:tc>
          <w:tcPr>
            <w:tcW w:w="4567"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rPr>
                <w:color w:val="000000"/>
                <w:sz w:val="24"/>
              </w:rPr>
            </w:pPr>
            <w:r>
              <w:rPr>
                <w:color w:val="000000"/>
                <w:sz w:val="24"/>
              </w:rPr>
              <w:t>Общественное использование</w:t>
            </w:r>
          </w:p>
        </w:tc>
        <w:tc>
          <w:tcPr>
            <w:tcW w:w="239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26</w:t>
            </w:r>
          </w:p>
        </w:tc>
        <w:tc>
          <w:tcPr>
            <w:tcW w:w="242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36765</w:t>
            </w:r>
          </w:p>
        </w:tc>
      </w:tr>
      <w:tr w:rsidR="00E85D42">
        <w:tblPrEx>
          <w:tblCellMar>
            <w:top w:w="0" w:type="dxa"/>
            <w:bottom w:w="0" w:type="dxa"/>
          </w:tblCellMar>
        </w:tblPrEx>
        <w:trPr>
          <w:trHeight w:val="240"/>
        </w:trPr>
        <w:tc>
          <w:tcPr>
            <w:tcW w:w="4567"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rPr>
                <w:color w:val="000000"/>
                <w:sz w:val="24"/>
              </w:rPr>
            </w:pPr>
            <w:r>
              <w:rPr>
                <w:color w:val="000000"/>
                <w:sz w:val="24"/>
              </w:rPr>
              <w:t>Производственная деятельность</w:t>
            </w:r>
          </w:p>
        </w:tc>
        <w:tc>
          <w:tcPr>
            <w:tcW w:w="239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1</w:t>
            </w:r>
          </w:p>
        </w:tc>
        <w:tc>
          <w:tcPr>
            <w:tcW w:w="242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E85D42" w:rsidRDefault="008113B9">
            <w:pPr>
              <w:jc w:val="center"/>
              <w:rPr>
                <w:color w:val="000000"/>
                <w:sz w:val="24"/>
              </w:rPr>
            </w:pPr>
            <w:r>
              <w:rPr>
                <w:color w:val="000000"/>
                <w:sz w:val="24"/>
              </w:rPr>
              <w:t>15165</w:t>
            </w:r>
          </w:p>
        </w:tc>
      </w:tr>
    </w:tbl>
    <w:p w:rsidR="00E85D42" w:rsidRDefault="00E85D42">
      <w:pPr>
        <w:ind w:firstLine="567"/>
        <w:jc w:val="both"/>
        <w:rPr>
          <w:sz w:val="24"/>
        </w:rPr>
      </w:pPr>
    </w:p>
    <w:p w:rsidR="00E85D42" w:rsidRDefault="008113B9">
      <w:pPr>
        <w:ind w:firstLine="567"/>
        <w:jc w:val="both"/>
        <w:rPr>
          <w:sz w:val="24"/>
        </w:rPr>
      </w:pPr>
      <w:r>
        <w:rPr>
          <w:sz w:val="24"/>
        </w:rPr>
        <w:t xml:space="preserve">Далее в обзоре рынка земельных участков будут проанализированы сегменты, к которым, в рамках определения кадастровой стоимости в 2019 </w:t>
      </w:r>
      <w:r>
        <w:rPr>
          <w:sz w:val="24"/>
        </w:rPr>
        <w:t xml:space="preserve">году, отнесены земельные участки Республики Башкортостан категории земель «земли населенных пунктов» и «земли водного фонда». </w:t>
      </w:r>
    </w:p>
    <w:p w:rsidR="00E85D42" w:rsidRDefault="00E85D42">
      <w:pPr>
        <w:rPr>
          <w:b/>
          <w:i/>
          <w:sz w:val="24"/>
        </w:rPr>
      </w:pPr>
    </w:p>
    <w:p w:rsidR="00E85D42" w:rsidRDefault="008113B9">
      <w:pPr>
        <w:spacing w:line="276" w:lineRule="auto"/>
        <w:ind w:firstLine="567"/>
        <w:jc w:val="center"/>
      </w:pPr>
      <w:r>
        <w:rPr>
          <w:b/>
          <w:sz w:val="26"/>
          <w:szCs w:val="26"/>
        </w:rPr>
        <w:t>Анализ рыночной информации по сегменту</w:t>
      </w:r>
      <w:r>
        <w:rPr>
          <w:b/>
          <w:i/>
          <w:sz w:val="26"/>
          <w:szCs w:val="26"/>
        </w:rPr>
        <w:t xml:space="preserve"> </w:t>
      </w:r>
      <w:r>
        <w:rPr>
          <w:b/>
          <w:sz w:val="26"/>
          <w:szCs w:val="26"/>
        </w:rPr>
        <w:t>«Садоводство и огородничество, малоэтажная жилая застройка»</w:t>
      </w:r>
    </w:p>
    <w:p w:rsidR="00E85D42" w:rsidRDefault="008113B9">
      <w:pPr>
        <w:spacing w:line="276" w:lineRule="auto"/>
        <w:ind w:firstLine="709"/>
        <w:jc w:val="both"/>
        <w:rPr>
          <w:sz w:val="24"/>
          <w:szCs w:val="24"/>
        </w:rPr>
      </w:pPr>
      <w:r>
        <w:rPr>
          <w:sz w:val="24"/>
          <w:szCs w:val="24"/>
        </w:rPr>
        <w:t xml:space="preserve">Для расчета рыночной </w:t>
      </w:r>
      <w:r>
        <w:rPr>
          <w:sz w:val="24"/>
          <w:szCs w:val="24"/>
        </w:rPr>
        <w:t>стоимости земельных участков соответствующего назначения был проведен анализ рынка свободных (незастроенных) и застроенных земельных участков, расположенных в Республике Башкортостан.</w:t>
      </w:r>
    </w:p>
    <w:p w:rsidR="00E85D42" w:rsidRDefault="008113B9">
      <w:pPr>
        <w:spacing w:line="276" w:lineRule="auto"/>
        <w:ind w:firstLine="709"/>
        <w:jc w:val="both"/>
      </w:pPr>
      <w:r>
        <w:rPr>
          <w:sz w:val="24"/>
          <w:szCs w:val="24"/>
        </w:rPr>
        <w:t>В качестве исходных данных использовались рыночные цены (цены предложени</w:t>
      </w:r>
      <w:r>
        <w:rPr>
          <w:sz w:val="24"/>
          <w:szCs w:val="24"/>
        </w:rPr>
        <w:t>й) 1 кв. м площади предлагаемых земельных участков и цены 1 кв.м. площади совершенных сделок торгов/аукционов. При этом для расчета стоимости 1 кв. м застроенного земельного участка (при наличии информации в тексте объявления) использовалась информация о с</w:t>
      </w:r>
      <w:r>
        <w:rPr>
          <w:sz w:val="24"/>
          <w:szCs w:val="24"/>
        </w:rPr>
        <w:t>тоимости самого участка, а также среднее значение доли земельного участка в стоимости единого объекта недвижимости. Доля стоимости земельного участка в стоимости единого объекта недвижимости определялась в соответствии с Методическими указаниями о государс</w:t>
      </w:r>
      <w:r>
        <w:rPr>
          <w:sz w:val="24"/>
          <w:szCs w:val="24"/>
        </w:rPr>
        <w:t>твенной кадастровой оценке, утвержденными Приказом Минэкономразвития России от 12 мая 2017 года № 226. Согласно которому доля стоимости земельного участка составляет 20-30% от общей стоимости единого объекта недвижимости. Корректировка для застроенных земе</w:t>
      </w:r>
      <w:r>
        <w:rPr>
          <w:sz w:val="24"/>
          <w:szCs w:val="24"/>
        </w:rPr>
        <w:t>льных участков принята как среднее значение - 25% от стоимости предложения/сделки. В соответствии с приведенным порядком сформирована выборка цен предложений/сделок с земельными участками, которые с учетом введенной корректировки рассматриваются как незаст</w:t>
      </w:r>
      <w:r>
        <w:rPr>
          <w:sz w:val="24"/>
          <w:szCs w:val="24"/>
        </w:rPr>
        <w:t xml:space="preserve">роенные. </w:t>
      </w:r>
    </w:p>
    <w:p w:rsidR="00E85D42" w:rsidRDefault="008113B9">
      <w:pPr>
        <w:spacing w:line="276" w:lineRule="auto"/>
        <w:ind w:firstLine="709"/>
        <w:jc w:val="both"/>
        <w:rPr>
          <w:sz w:val="24"/>
          <w:szCs w:val="24"/>
        </w:rPr>
      </w:pPr>
      <w:r>
        <w:rPr>
          <w:sz w:val="24"/>
          <w:szCs w:val="24"/>
        </w:rPr>
        <w:t>Все объекты аналоги сегмента «Садоводство и огородничество, малоэтажная жилая застройка», были разделены на 2 группы:</w:t>
      </w:r>
    </w:p>
    <w:p w:rsidR="00E85D42" w:rsidRDefault="008113B9">
      <w:pPr>
        <w:spacing w:line="276" w:lineRule="auto"/>
        <w:ind w:firstLine="709"/>
        <w:jc w:val="both"/>
      </w:pPr>
      <w:r>
        <w:rPr>
          <w:sz w:val="24"/>
          <w:szCs w:val="24"/>
        </w:rPr>
        <w:t xml:space="preserve">- земельные участки, предназначенные для </w:t>
      </w:r>
      <w:r>
        <w:rPr>
          <w:iCs/>
          <w:sz w:val="24"/>
          <w:szCs w:val="24"/>
        </w:rPr>
        <w:t>размещения малоэтажной застройки, индивидуального жилищного строительства, ведения личн</w:t>
      </w:r>
      <w:r>
        <w:rPr>
          <w:iCs/>
          <w:sz w:val="24"/>
          <w:szCs w:val="24"/>
        </w:rPr>
        <w:t>ого подсобного хозяйства (код ВРИ – 02:010, 02:011, 02:013, 02:014, 02:020, 02:021, 02:030, 02:031)</w:t>
      </w:r>
      <w:r>
        <w:rPr>
          <w:sz w:val="24"/>
          <w:szCs w:val="24"/>
        </w:rPr>
        <w:t>;</w:t>
      </w:r>
    </w:p>
    <w:p w:rsidR="00E85D42" w:rsidRDefault="008113B9">
      <w:pPr>
        <w:spacing w:line="276" w:lineRule="auto"/>
        <w:ind w:firstLine="709"/>
        <w:jc w:val="both"/>
        <w:rPr>
          <w:sz w:val="24"/>
          <w:szCs w:val="24"/>
        </w:rPr>
      </w:pPr>
      <w:r>
        <w:rPr>
          <w:sz w:val="24"/>
          <w:szCs w:val="24"/>
        </w:rPr>
        <w:t>- земельные участки, предназначенные для садоводства и огородничества (код ВРИ – 13:011, 13:021).</w:t>
      </w:r>
    </w:p>
    <w:p w:rsidR="00E85D42" w:rsidRDefault="008113B9">
      <w:pPr>
        <w:spacing w:line="276" w:lineRule="auto"/>
        <w:ind w:firstLine="709"/>
        <w:jc w:val="both"/>
        <w:rPr>
          <w:sz w:val="24"/>
          <w:szCs w:val="24"/>
        </w:rPr>
      </w:pPr>
      <w:r>
        <w:rPr>
          <w:sz w:val="24"/>
          <w:szCs w:val="24"/>
        </w:rPr>
        <w:t xml:space="preserve">Всего в качестве объектов-аналогов было рассмотрено 3870 </w:t>
      </w:r>
      <w:r>
        <w:rPr>
          <w:sz w:val="24"/>
          <w:szCs w:val="24"/>
        </w:rPr>
        <w:t>сформированных, описанных выше образом, земельных участков. Из них 426 участка предназначены для садоводческого и огороднического использования, 3444 — для индивидуального жилищного строительства, ведения личного подсобного хозяйства (далее ЛПХ), малоэтажн</w:t>
      </w:r>
      <w:r>
        <w:rPr>
          <w:sz w:val="24"/>
          <w:szCs w:val="24"/>
        </w:rPr>
        <w:t>ых многоквартирных жилых домов.</w:t>
      </w:r>
    </w:p>
    <w:p w:rsidR="00E85D42" w:rsidRDefault="008113B9">
      <w:pPr>
        <w:spacing w:line="276" w:lineRule="auto"/>
        <w:ind w:firstLine="709"/>
        <w:jc w:val="center"/>
      </w:pPr>
      <w:r>
        <w:rPr>
          <w:i/>
          <w:sz w:val="24"/>
          <w:szCs w:val="24"/>
        </w:rPr>
        <w:t xml:space="preserve">Рынок земельных участков, предназначенных для </w:t>
      </w:r>
      <w:r>
        <w:rPr>
          <w:i/>
          <w:iCs/>
          <w:sz w:val="24"/>
          <w:szCs w:val="24"/>
        </w:rPr>
        <w:t>размещения малоэтажной застройки, индивидуального жилищного строительства, ведения личного подсобного хозяйства.</w:t>
      </w:r>
    </w:p>
    <w:p w:rsidR="00E85D42" w:rsidRDefault="008113B9">
      <w:pPr>
        <w:spacing w:line="276" w:lineRule="auto"/>
        <w:ind w:firstLine="709"/>
        <w:jc w:val="both"/>
        <w:rPr>
          <w:sz w:val="24"/>
          <w:szCs w:val="24"/>
        </w:rPr>
      </w:pPr>
      <w:r>
        <w:rPr>
          <w:sz w:val="24"/>
          <w:szCs w:val="24"/>
        </w:rPr>
        <w:t>В следующей таблице приведены средние, минимальные и максимальные</w:t>
      </w:r>
      <w:r>
        <w:rPr>
          <w:sz w:val="24"/>
          <w:szCs w:val="24"/>
        </w:rPr>
        <w:t xml:space="preserve"> значения удельных цен предложений/сделок земельных участков, а также количество объектов-аналогов, сгруппированные по муниципальным образованиям Республики Башкортостан.</w:t>
      </w:r>
    </w:p>
    <w:p w:rsidR="00E85D42" w:rsidRDefault="008113B9">
      <w:pPr>
        <w:pStyle w:val="ad"/>
        <w:keepNext/>
        <w:jc w:val="right"/>
        <w:rPr>
          <w:b w:val="0"/>
          <w:i w:val="0"/>
          <w:sz w:val="24"/>
          <w:szCs w:val="24"/>
        </w:rPr>
      </w:pPr>
      <w:r>
        <w:rPr>
          <w:b w:val="0"/>
          <w:i w:val="0"/>
          <w:sz w:val="24"/>
          <w:szCs w:val="24"/>
        </w:rPr>
        <w:t>Таблица 3.1.6.2</w:t>
      </w:r>
    </w:p>
    <w:tbl>
      <w:tblPr>
        <w:tblW w:w="5000" w:type="pct"/>
        <w:tblCellMar>
          <w:left w:w="10" w:type="dxa"/>
          <w:right w:w="10" w:type="dxa"/>
        </w:tblCellMar>
        <w:tblLook w:val="04A0" w:firstRow="1" w:lastRow="0" w:firstColumn="1" w:lastColumn="0" w:noHBand="0" w:noVBand="1"/>
      </w:tblPr>
      <w:tblGrid>
        <w:gridCol w:w="730"/>
        <w:gridCol w:w="3344"/>
        <w:gridCol w:w="1333"/>
        <w:gridCol w:w="1388"/>
        <w:gridCol w:w="1388"/>
        <w:gridCol w:w="1387"/>
      </w:tblGrid>
      <w:tr w:rsidR="00E85D42">
        <w:tblPrEx>
          <w:tblCellMar>
            <w:top w:w="0" w:type="dxa"/>
            <w:bottom w:w="0" w:type="dxa"/>
          </w:tblCellMar>
        </w:tblPrEx>
        <w:trPr>
          <w:trHeight w:val="960"/>
          <w:tblHeader/>
        </w:trPr>
        <w:tc>
          <w:tcPr>
            <w:tcW w:w="730"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Код района</w:t>
            </w:r>
          </w:p>
        </w:tc>
        <w:tc>
          <w:tcPr>
            <w:tcW w:w="3344"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Район</w:t>
            </w:r>
          </w:p>
        </w:tc>
        <w:tc>
          <w:tcPr>
            <w:tcW w:w="1333"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Количество объектов</w:t>
            </w:r>
          </w:p>
        </w:tc>
        <w:tc>
          <w:tcPr>
            <w:tcW w:w="1388"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 xml:space="preserve">Минимальная стоимость, </w:t>
            </w:r>
            <w:r>
              <w:rPr>
                <w:b/>
                <w:bCs/>
                <w:color w:val="000000"/>
                <w:sz w:val="16"/>
                <w:szCs w:val="16"/>
              </w:rPr>
              <w:t>руб./кв.м.</w:t>
            </w:r>
          </w:p>
        </w:tc>
        <w:tc>
          <w:tcPr>
            <w:tcW w:w="1388"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Средняя стоимость, руб./кв.м.</w:t>
            </w:r>
          </w:p>
        </w:tc>
        <w:tc>
          <w:tcPr>
            <w:tcW w:w="1387"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Максимальная стоимость, руб./кв.м.</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02:74</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Агидель</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320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529</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917</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02:60</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Кумертау</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46</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110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586</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1 296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02:75</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ЗАТО Межгорье</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150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292</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433</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02:66</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Нефтекамск</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264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765</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2 014</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02:57</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Октябрьский</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235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1 210</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2 968</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02:59</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Салават</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37</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325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1 092</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3 497</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02:61</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Сибай</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56</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506</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1 298</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02:56</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Стерлитамак</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221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1 498</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3 362</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02:55</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Уфа</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280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189</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1 413</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5 618</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02:01</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Абзелиловский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109</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299</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864</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02:02</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 xml:space="preserve">Альшеевский </w:t>
            </w:r>
            <w:r>
              <w:rPr>
                <w:color w:val="000000"/>
                <w:sz w:val="16"/>
                <w:szCs w:val="16"/>
              </w:rPr>
              <w:t>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283</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849</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02:03</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Архангельский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204</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658</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02:04</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Аскинский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259</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657</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02:05</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Аургазинский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281</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1 006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02:06</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Баймакский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320</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1 041</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02:07</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Бакалинский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306</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776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02:08</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Балтачевский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130</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405</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02:09</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Белебеевский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134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566</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2 083</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02:10</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Белокатайский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210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361</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454</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02:11</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Белорецкий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144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281</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2 016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02:12</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Бижбулякский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108</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415</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02:13</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Бирский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103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602</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1 750</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02:14</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Благоварский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175</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692</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02:15</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Благовещенский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464</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1 230</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02:16</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 xml:space="preserve">Буздякский </w:t>
            </w:r>
            <w:r>
              <w:rPr>
                <w:color w:val="000000"/>
                <w:sz w:val="16"/>
                <w:szCs w:val="16"/>
              </w:rPr>
              <w:t>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29</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341</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891</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02:17</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Бураевский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29</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304</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856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02:18</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Бурзянский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70</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206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02:19</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Гафурийский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196</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862</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02:20</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Давлекановский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90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292</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1 429</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02:21</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Дуванский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278</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944</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02:22</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Дюртюлинский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349</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1 738</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02:23</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Ермекеевский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73</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477</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02:24</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Зианчуринский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17</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267</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1 001</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02:25</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Зилаирский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218</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711</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02:26</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Иглинский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122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437</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1 743</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02:27</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Илишевский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264</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904</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02:28</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Ишимбайский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164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26</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586</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3 529</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02:29</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Калтасинский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17</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238</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676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02:30</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 xml:space="preserve">Караидельский </w:t>
            </w:r>
            <w:r>
              <w:rPr>
                <w:color w:val="000000"/>
                <w:sz w:val="16"/>
                <w:szCs w:val="16"/>
              </w:rPr>
              <w:t>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19</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233</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1 000</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02:31</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Кармаскалинский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398</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1 272</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02:32</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Кигинский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202</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541</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02:33</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Краснокамский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26</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27</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222</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933</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02:34</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Кугарчинский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259</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624</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02:36</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Кушнаренковский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37</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217</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733</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02:35</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Куюргазинский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37</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151</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596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02:37</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Мелеузовский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174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461</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1 696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02:38</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Мечетлинский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84</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699</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02:39</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 xml:space="preserve">Мишкинский муниципальный </w:t>
            </w:r>
            <w:r>
              <w:rPr>
                <w:color w:val="000000"/>
                <w:sz w:val="16"/>
                <w:szCs w:val="16"/>
              </w:rPr>
              <w:t>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19</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201</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772</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02:40</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Миякинский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278</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682</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02:41</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Нуримановский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114</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800</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02:42</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Салаватский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87</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175</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02:43</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Стерлибашевский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37</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173</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574</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02:44</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Стерлитамакский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98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502</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1 832</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02:45</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Татышлинский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47</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19</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254</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656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02:46</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Туймазинский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130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33</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431</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2 352</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02:47</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Уфимский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151</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69</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1 147</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3 994</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02:48</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Учалинский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60</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195</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914</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02:49</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Федоровский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32</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374</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703</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02:50</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Хайбуллинский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16</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356</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980</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02:51</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Чекмагушевский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18</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310</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773</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02:52</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Чишминский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44</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16</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427</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1 315</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02:53</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 xml:space="preserve">Шаранский </w:t>
            </w:r>
            <w:r>
              <w:rPr>
                <w:color w:val="000000"/>
                <w:sz w:val="16"/>
                <w:szCs w:val="16"/>
              </w:rPr>
              <w:t>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17</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160</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686</w:t>
            </w:r>
          </w:p>
        </w:tc>
      </w:tr>
      <w:tr w:rsidR="00E85D42">
        <w:tblPrEx>
          <w:tblCellMar>
            <w:top w:w="0" w:type="dxa"/>
            <w:bottom w:w="0" w:type="dxa"/>
          </w:tblCellMar>
        </w:tblPrEx>
        <w:trPr>
          <w:trHeight w:val="300"/>
        </w:trPr>
        <w:tc>
          <w:tcPr>
            <w:tcW w:w="73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02:54</w:t>
            </w:r>
          </w:p>
        </w:tc>
        <w:tc>
          <w:tcPr>
            <w:tcW w:w="334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Янаульский муниципальный район</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45</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39</w:t>
            </w:r>
          </w:p>
        </w:tc>
        <w:tc>
          <w:tcPr>
            <w:tcW w:w="138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350</w:t>
            </w:r>
          </w:p>
        </w:tc>
        <w:tc>
          <w:tcPr>
            <w:tcW w:w="138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1 322</w:t>
            </w:r>
          </w:p>
        </w:tc>
      </w:tr>
    </w:tbl>
    <w:p w:rsidR="00E85D42" w:rsidRDefault="00E85D42">
      <w:pPr>
        <w:ind w:firstLine="709"/>
        <w:jc w:val="right"/>
        <w:rPr>
          <w:sz w:val="24"/>
          <w:szCs w:val="24"/>
        </w:rPr>
      </w:pPr>
    </w:p>
    <w:p w:rsidR="00E85D42" w:rsidRDefault="00E85D42">
      <w:pPr>
        <w:ind w:firstLine="709"/>
        <w:jc w:val="both"/>
        <w:rPr>
          <w:sz w:val="24"/>
          <w:szCs w:val="24"/>
        </w:rPr>
      </w:pPr>
    </w:p>
    <w:p w:rsidR="00E85D42" w:rsidRDefault="008113B9">
      <w:pPr>
        <w:ind w:firstLine="709"/>
        <w:jc w:val="both"/>
        <w:rPr>
          <w:sz w:val="24"/>
        </w:rPr>
      </w:pPr>
      <w:r>
        <w:rPr>
          <w:sz w:val="24"/>
        </w:rPr>
        <w:t xml:space="preserve">Как видно на рисунке 3.1.6.1, самые дорогие земельные участки расположены в городских округах Республики Башкортостан и в муниципальных районах центром которых </w:t>
      </w:r>
      <w:r>
        <w:rPr>
          <w:sz w:val="24"/>
        </w:rPr>
        <w:t>являются города.</w:t>
      </w:r>
    </w:p>
    <w:p w:rsidR="00E85D42" w:rsidRDefault="00E85D42">
      <w:pPr>
        <w:ind w:firstLine="709"/>
        <w:jc w:val="both"/>
        <w:rPr>
          <w:sz w:val="24"/>
        </w:rPr>
      </w:pPr>
    </w:p>
    <w:p w:rsidR="00E85D42" w:rsidRDefault="008113B9">
      <w:pPr>
        <w:jc w:val="center"/>
      </w:pPr>
      <w:r>
        <w:rPr>
          <w:noProof/>
          <w:sz w:val="24"/>
        </w:rPr>
        <w:drawing>
          <wp:inline distT="0" distB="0" distL="0" distR="0">
            <wp:extent cx="5939786" cy="7403915"/>
            <wp:effectExtent l="0" t="0" r="3814" b="6535"/>
            <wp:docPr id="110" name="Рисунок 16" descr="Z:\!Елсукова Н.Н\!!! ИЖС\Анализ\Карта для анализа ИЖС\карта 20.06.2019 (косметич.исправление).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rcRect/>
                    <a:stretch>
                      <a:fillRect/>
                    </a:stretch>
                  </pic:blipFill>
                  <pic:spPr>
                    <a:xfrm>
                      <a:off x="0" y="0"/>
                      <a:ext cx="5939786" cy="7403915"/>
                    </a:xfrm>
                    <a:prstGeom prst="rect">
                      <a:avLst/>
                    </a:prstGeom>
                    <a:noFill/>
                    <a:ln>
                      <a:noFill/>
                      <a:prstDash/>
                    </a:ln>
                  </pic:spPr>
                </pic:pic>
              </a:graphicData>
            </a:graphic>
          </wp:inline>
        </w:drawing>
      </w:r>
    </w:p>
    <w:p w:rsidR="00E85D42" w:rsidRDefault="008113B9">
      <w:pPr>
        <w:keepNext/>
        <w:spacing w:before="120" w:after="120"/>
        <w:jc w:val="center"/>
        <w:rPr>
          <w:b/>
          <w:i/>
          <w:iCs/>
        </w:rPr>
      </w:pPr>
      <w:r>
        <w:rPr>
          <w:b/>
          <w:i/>
          <w:iCs/>
        </w:rPr>
        <w:t xml:space="preserve">Рисунок 3.1.6.1. Рыночная стоимость земельных участков, предназначенных для размещения малоэтажной застройки, индивидуального жилищного строительства, ведения личного подсобного хозяйства </w:t>
      </w: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E85D42">
      <w:pPr>
        <w:ind w:firstLine="709"/>
        <w:jc w:val="both"/>
        <w:rPr>
          <w:sz w:val="24"/>
          <w:szCs w:val="24"/>
        </w:rPr>
      </w:pPr>
    </w:p>
    <w:p w:rsidR="00E85D42" w:rsidRDefault="008113B9">
      <w:pPr>
        <w:spacing w:line="276" w:lineRule="auto"/>
        <w:ind w:firstLine="709"/>
        <w:jc w:val="center"/>
      </w:pPr>
      <w:r>
        <w:rPr>
          <w:i/>
          <w:sz w:val="26"/>
          <w:szCs w:val="26"/>
        </w:rPr>
        <w:t>Рынок земельных участков, предназначенных</w:t>
      </w:r>
      <w:r>
        <w:rPr>
          <w:i/>
          <w:sz w:val="26"/>
          <w:szCs w:val="26"/>
        </w:rPr>
        <w:t xml:space="preserve"> для </w:t>
      </w:r>
      <w:r>
        <w:rPr>
          <w:i/>
          <w:iCs/>
          <w:sz w:val="26"/>
          <w:szCs w:val="26"/>
        </w:rPr>
        <w:t>садоводства и огородничества</w:t>
      </w:r>
      <w:r>
        <w:rPr>
          <w:i/>
          <w:iCs/>
          <w:sz w:val="24"/>
          <w:szCs w:val="24"/>
        </w:rPr>
        <w:t>.</w:t>
      </w:r>
    </w:p>
    <w:p w:rsidR="00E85D42" w:rsidRDefault="008113B9">
      <w:pPr>
        <w:spacing w:line="276" w:lineRule="auto"/>
        <w:ind w:firstLine="709"/>
        <w:jc w:val="both"/>
        <w:rPr>
          <w:sz w:val="24"/>
          <w:szCs w:val="24"/>
        </w:rPr>
      </w:pPr>
      <w:r>
        <w:rPr>
          <w:sz w:val="24"/>
          <w:szCs w:val="24"/>
        </w:rPr>
        <w:t>На территории Уфы расположено 391 садовое товарищество, в которое входят 59150 земельных участков общей площадью, с учётом земель общего пользования - 2420 гектаров. Всего в Башкирии более 300 тысяч садоводов.</w:t>
      </w:r>
    </w:p>
    <w:p w:rsidR="00E85D42" w:rsidRDefault="008113B9">
      <w:pPr>
        <w:spacing w:line="276" w:lineRule="auto"/>
        <w:ind w:firstLine="709"/>
        <w:jc w:val="right"/>
        <w:rPr>
          <w:sz w:val="24"/>
          <w:szCs w:val="24"/>
        </w:rPr>
      </w:pPr>
      <w:r>
        <w:rPr>
          <w:sz w:val="24"/>
          <w:szCs w:val="24"/>
        </w:rPr>
        <w:t>https://ufa</w:t>
      </w:r>
      <w:r>
        <w:rPr>
          <w:sz w:val="24"/>
          <w:szCs w:val="24"/>
        </w:rPr>
        <w:t>.rbc.ru/ufa/25/04/2018/5ae0779e9a794732c8278081</w:t>
      </w:r>
    </w:p>
    <w:p w:rsidR="00E85D42" w:rsidRDefault="008113B9">
      <w:pPr>
        <w:spacing w:line="276" w:lineRule="auto"/>
        <w:ind w:firstLine="709"/>
        <w:jc w:val="both"/>
        <w:rPr>
          <w:sz w:val="24"/>
          <w:szCs w:val="24"/>
        </w:rPr>
      </w:pPr>
      <w:r>
        <w:rPr>
          <w:sz w:val="24"/>
          <w:szCs w:val="24"/>
        </w:rPr>
        <w:t>В следующей таблице приведены средние, минимальные и максимальные значения удельных цен предложений/сделок земельных участков, а также количество объектов-аналогов, сгруппированные по муниципальным образовани</w:t>
      </w:r>
      <w:r>
        <w:rPr>
          <w:sz w:val="24"/>
          <w:szCs w:val="24"/>
        </w:rPr>
        <w:t>ям Республики Башкортостан.</w:t>
      </w:r>
    </w:p>
    <w:p w:rsidR="00E85D42" w:rsidRDefault="008113B9">
      <w:pPr>
        <w:pStyle w:val="ad"/>
        <w:keepNext/>
        <w:jc w:val="right"/>
        <w:rPr>
          <w:b w:val="0"/>
          <w:i w:val="0"/>
          <w:sz w:val="24"/>
          <w:szCs w:val="24"/>
        </w:rPr>
      </w:pPr>
      <w:r>
        <w:rPr>
          <w:b w:val="0"/>
          <w:i w:val="0"/>
          <w:sz w:val="24"/>
          <w:szCs w:val="24"/>
        </w:rPr>
        <w:t>Таблица 3.1.6.3</w:t>
      </w:r>
    </w:p>
    <w:tbl>
      <w:tblPr>
        <w:tblW w:w="5000" w:type="pct"/>
        <w:tblLayout w:type="fixed"/>
        <w:tblCellMar>
          <w:left w:w="10" w:type="dxa"/>
          <w:right w:w="10" w:type="dxa"/>
        </w:tblCellMar>
        <w:tblLook w:val="04A0" w:firstRow="1" w:lastRow="0" w:firstColumn="1" w:lastColumn="0" w:noHBand="0" w:noVBand="1"/>
      </w:tblPr>
      <w:tblGrid>
        <w:gridCol w:w="867"/>
        <w:gridCol w:w="3338"/>
        <w:gridCol w:w="1315"/>
        <w:gridCol w:w="1428"/>
        <w:gridCol w:w="1125"/>
        <w:gridCol w:w="1497"/>
      </w:tblGrid>
      <w:tr w:rsidR="00E85D42">
        <w:tblPrEx>
          <w:tblCellMar>
            <w:top w:w="0" w:type="dxa"/>
            <w:bottom w:w="0" w:type="dxa"/>
          </w:tblCellMar>
        </w:tblPrEx>
        <w:trPr>
          <w:trHeight w:val="480"/>
          <w:tblHeader/>
        </w:trPr>
        <w:tc>
          <w:tcPr>
            <w:tcW w:w="867"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color w:val="000000"/>
                <w:sz w:val="18"/>
                <w:szCs w:val="18"/>
              </w:rPr>
            </w:pPr>
            <w:r>
              <w:rPr>
                <w:b/>
                <w:color w:val="000000"/>
                <w:sz w:val="18"/>
                <w:szCs w:val="18"/>
              </w:rPr>
              <w:t>Код района</w:t>
            </w:r>
          </w:p>
        </w:tc>
        <w:tc>
          <w:tcPr>
            <w:tcW w:w="3338"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color w:val="000000"/>
                <w:sz w:val="18"/>
                <w:szCs w:val="18"/>
              </w:rPr>
            </w:pPr>
            <w:r>
              <w:rPr>
                <w:b/>
                <w:color w:val="000000"/>
                <w:sz w:val="18"/>
                <w:szCs w:val="18"/>
              </w:rPr>
              <w:t>Район</w:t>
            </w:r>
          </w:p>
        </w:tc>
        <w:tc>
          <w:tcPr>
            <w:tcW w:w="1315"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color w:val="000000"/>
                <w:sz w:val="18"/>
                <w:szCs w:val="18"/>
              </w:rPr>
            </w:pPr>
            <w:r>
              <w:rPr>
                <w:b/>
                <w:color w:val="000000"/>
                <w:sz w:val="18"/>
                <w:szCs w:val="18"/>
              </w:rPr>
              <w:t>Количество объектов</w:t>
            </w:r>
          </w:p>
        </w:tc>
        <w:tc>
          <w:tcPr>
            <w:tcW w:w="1428"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color w:val="000000"/>
                <w:sz w:val="18"/>
                <w:szCs w:val="18"/>
              </w:rPr>
            </w:pPr>
            <w:r>
              <w:rPr>
                <w:b/>
                <w:color w:val="000000"/>
                <w:sz w:val="18"/>
                <w:szCs w:val="18"/>
              </w:rPr>
              <w:t>Минимальная стоимость, руб./кв.м.</w:t>
            </w:r>
          </w:p>
        </w:tc>
        <w:tc>
          <w:tcPr>
            <w:tcW w:w="1125"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color w:val="000000"/>
                <w:sz w:val="18"/>
                <w:szCs w:val="18"/>
              </w:rPr>
            </w:pPr>
            <w:r>
              <w:rPr>
                <w:b/>
                <w:color w:val="000000"/>
                <w:sz w:val="18"/>
                <w:szCs w:val="18"/>
              </w:rPr>
              <w:t>Средняя стоимость, руб./кв.м.</w:t>
            </w:r>
          </w:p>
        </w:tc>
        <w:tc>
          <w:tcPr>
            <w:tcW w:w="1497"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color w:val="000000"/>
                <w:sz w:val="18"/>
                <w:szCs w:val="18"/>
              </w:rPr>
            </w:pPr>
            <w:r>
              <w:rPr>
                <w:b/>
                <w:color w:val="000000"/>
                <w:sz w:val="18"/>
                <w:szCs w:val="18"/>
              </w:rPr>
              <w:t>Максимальная стоимость, руб./кв.м.</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02:74</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ГО Агидель</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02:60</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ГО Кумертау</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258</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426</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597</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02:75</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ЗАТО </w:t>
            </w:r>
            <w:r>
              <w:rPr>
                <w:color w:val="000000"/>
                <w:sz w:val="18"/>
                <w:szCs w:val="18"/>
              </w:rPr>
              <w:t>Межгорье</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02:66</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ГО Нефтекамск</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258</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1417</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02:57</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ГО Октябрьский</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71</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539</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1100</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02:59</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ГО Салават</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65</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337</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626</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02:61</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ГО Сибай</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02:56</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ГО Стерлитамак</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473</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1226</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02:55</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ГО Уфа</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122</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32</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526</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3522</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02:01</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Абзелиловский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02:02</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Альшеевский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02:03</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Архангельский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02:04</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Аскинский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02:05</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Аургазинский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02:06</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Баймакский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02:07</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Бакалинский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02:08</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Балтачевский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02:09</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Белебеевский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125</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332</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02:10</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Белокатайский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02:11</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Белорецкий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256</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750</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02:12</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Бижбулякский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02:13</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Бирский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333</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566</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818</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02:14</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Благоварский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02:15</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Благовещенский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349</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375</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400</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02:16</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Буздякский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02:17</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Бураевский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02:18</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Бурзянский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02:19</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Гафурийский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02:20</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Давлекановский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02:21</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Дуванский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02:22</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Дюртюлинский </w:t>
            </w:r>
            <w:r>
              <w:rPr>
                <w:color w:val="000000"/>
                <w:sz w:val="18"/>
                <w:szCs w:val="18"/>
              </w:rPr>
              <w:t>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167</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167</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167</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02:23</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Ермекеевский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02:24</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Зианчуринский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02:25</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Зилаирский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02:26</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Иглинский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46</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80</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256</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1067</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02:27</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Илишевский </w:t>
            </w:r>
            <w:r>
              <w:rPr>
                <w:color w:val="000000"/>
                <w:sz w:val="18"/>
                <w:szCs w:val="18"/>
              </w:rPr>
              <w:t>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02:28</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Ишимбайский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357</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471</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585</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02:29</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Калтасинский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02:30</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Караидельский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02:31</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Кармаскалинский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54</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299</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1468</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02:32</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Кигинский </w:t>
            </w:r>
            <w:r>
              <w:rPr>
                <w:color w:val="000000"/>
                <w:sz w:val="18"/>
                <w:szCs w:val="18"/>
              </w:rPr>
              <w:t>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02:33</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Краснокамский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02:34</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Кугарчинский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02:36</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Кушнаренковский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121</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241</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500</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02:35</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Куюргазинский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02:37</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Мелеузовский </w:t>
            </w:r>
            <w:r>
              <w:rPr>
                <w:color w:val="000000"/>
                <w:sz w:val="18"/>
                <w:szCs w:val="18"/>
              </w:rPr>
              <w:t>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41</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212</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375</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02:38</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Мечетлинский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02:39</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Мишкинский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02:40</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Миякинский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02:41</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Нуримановский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460</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460</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460</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02:42</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Салаватский </w:t>
            </w:r>
            <w:r>
              <w:rPr>
                <w:color w:val="000000"/>
                <w:sz w:val="18"/>
                <w:szCs w:val="18"/>
              </w:rPr>
              <w:t>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02:43</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Стерлибашевский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02:44</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Стерлитамакский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25</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41</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412</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1500</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02:45</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Татышлинский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02:46</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Туймазинский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475</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475</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475</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02:47</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Уфимский </w:t>
            </w:r>
            <w:r>
              <w:rPr>
                <w:color w:val="000000"/>
                <w:sz w:val="18"/>
                <w:szCs w:val="18"/>
              </w:rPr>
              <w:t>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97</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46</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381</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1743</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02:48</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Учалинский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97</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180</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02:49</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Федоровский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02:50</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Хайбуллинский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02:51</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Чекмагушевский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02:52</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Чишминский </w:t>
            </w:r>
            <w:r>
              <w:rPr>
                <w:color w:val="000000"/>
                <w:sz w:val="18"/>
                <w:szCs w:val="18"/>
              </w:rPr>
              <w:t>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332</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1300</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02:53</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Шаранский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r w:rsidR="00E85D42">
        <w:tblPrEx>
          <w:tblCellMar>
            <w:top w:w="0" w:type="dxa"/>
            <w:bottom w:w="0" w:type="dxa"/>
          </w:tblCellMar>
        </w:tblPrEx>
        <w:trPr>
          <w:trHeight w:val="300"/>
        </w:trPr>
        <w:tc>
          <w:tcPr>
            <w:tcW w:w="86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02:54</w:t>
            </w:r>
          </w:p>
        </w:tc>
        <w:tc>
          <w:tcPr>
            <w:tcW w:w="333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Янаульский муниципальный район</w:t>
            </w:r>
          </w:p>
        </w:tc>
        <w:tc>
          <w:tcPr>
            <w:tcW w:w="13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2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12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c>
          <w:tcPr>
            <w:tcW w:w="149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w:t>
            </w:r>
          </w:p>
        </w:tc>
      </w:tr>
    </w:tbl>
    <w:p w:rsidR="00E85D42" w:rsidRDefault="00E85D42">
      <w:pPr>
        <w:spacing w:line="276" w:lineRule="auto"/>
        <w:ind w:firstLine="709"/>
        <w:jc w:val="both"/>
        <w:rPr>
          <w:sz w:val="26"/>
          <w:szCs w:val="26"/>
        </w:rPr>
      </w:pPr>
    </w:p>
    <w:p w:rsidR="00E85D42" w:rsidRDefault="008113B9">
      <w:pPr>
        <w:pStyle w:val="a6"/>
        <w:spacing w:line="276" w:lineRule="auto"/>
        <w:ind w:firstLine="709"/>
      </w:pPr>
      <w:r>
        <w:t xml:space="preserve">Садоводство и огородничество в большей мере представляет сезонное использование, связанное с временным пребывание. Как видно на </w:t>
      </w:r>
      <w:r>
        <w:t>рисунке 3.1.6.2, пользуются популярностью земельные участки в близи городских населенных пунктах.</w:t>
      </w:r>
    </w:p>
    <w:p w:rsidR="00E85D42" w:rsidRDefault="008113B9">
      <w:pPr>
        <w:ind w:firstLine="709"/>
        <w:jc w:val="both"/>
      </w:pPr>
      <w:r>
        <w:rPr>
          <w:sz w:val="24"/>
          <w:szCs w:val="24"/>
        </w:rPr>
        <w:t>Рынок земельных участков садоводства и огородничества, в сельских населенных пунктах – отсутствует.</w:t>
      </w:r>
    </w:p>
    <w:p w:rsidR="00E85D42" w:rsidRDefault="00E85D42">
      <w:pPr>
        <w:ind w:firstLine="709"/>
        <w:jc w:val="both"/>
        <w:rPr>
          <w:sz w:val="24"/>
        </w:rPr>
      </w:pPr>
    </w:p>
    <w:p w:rsidR="00E85D42" w:rsidRDefault="008113B9">
      <w:pPr>
        <w:spacing w:line="276" w:lineRule="auto"/>
        <w:jc w:val="both"/>
      </w:pPr>
      <w:r>
        <w:rPr>
          <w:noProof/>
          <w:sz w:val="26"/>
          <w:szCs w:val="26"/>
        </w:rPr>
        <w:drawing>
          <wp:inline distT="0" distB="0" distL="0" distR="0">
            <wp:extent cx="5940427" cy="7407526"/>
            <wp:effectExtent l="0" t="0" r="3173" b="2924"/>
            <wp:docPr id="111" name="Рисунок 23" descr="Z:\!Елсукова Н.Н\ИЖС\Анализ\Карта для анализа СНТ\Безымянный.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rcRect/>
                    <a:stretch>
                      <a:fillRect/>
                    </a:stretch>
                  </pic:blipFill>
                  <pic:spPr>
                    <a:xfrm>
                      <a:off x="0" y="0"/>
                      <a:ext cx="5940427" cy="7407526"/>
                    </a:xfrm>
                    <a:prstGeom prst="rect">
                      <a:avLst/>
                    </a:prstGeom>
                    <a:noFill/>
                    <a:ln>
                      <a:noFill/>
                      <a:prstDash/>
                    </a:ln>
                  </pic:spPr>
                </pic:pic>
              </a:graphicData>
            </a:graphic>
          </wp:inline>
        </w:drawing>
      </w:r>
    </w:p>
    <w:p w:rsidR="00E85D42" w:rsidRDefault="008113B9">
      <w:pPr>
        <w:keepNext/>
        <w:spacing w:before="120" w:after="120"/>
        <w:jc w:val="right"/>
        <w:rPr>
          <w:b/>
          <w:i/>
          <w:iCs/>
        </w:rPr>
      </w:pPr>
      <w:r>
        <w:rPr>
          <w:b/>
          <w:i/>
          <w:iCs/>
        </w:rPr>
        <w:t xml:space="preserve">Рисунок3.1.6.2. Рыночная стоимость земельных участков, </w:t>
      </w:r>
      <w:r>
        <w:rPr>
          <w:b/>
          <w:i/>
          <w:iCs/>
        </w:rPr>
        <w:t xml:space="preserve">предназначенных для садоводства и огородничества. </w:t>
      </w:r>
    </w:p>
    <w:p w:rsidR="00E85D42" w:rsidRDefault="00E85D42">
      <w:pPr>
        <w:ind w:firstLine="708"/>
        <w:jc w:val="both"/>
        <w:rPr>
          <w:sz w:val="24"/>
        </w:rPr>
      </w:pPr>
    </w:p>
    <w:p w:rsidR="00E85D42" w:rsidRDefault="008113B9">
      <w:pPr>
        <w:spacing w:line="276" w:lineRule="auto"/>
        <w:ind w:firstLine="567"/>
        <w:jc w:val="center"/>
      </w:pPr>
      <w:r>
        <w:rPr>
          <w:b/>
          <w:sz w:val="26"/>
          <w:szCs w:val="26"/>
        </w:rPr>
        <w:t>Анализ рыночной информации по сегменту</w:t>
      </w:r>
      <w:r>
        <w:rPr>
          <w:b/>
          <w:i/>
          <w:sz w:val="26"/>
          <w:szCs w:val="26"/>
        </w:rPr>
        <w:t xml:space="preserve"> </w:t>
      </w:r>
      <w:r>
        <w:rPr>
          <w:b/>
          <w:sz w:val="26"/>
          <w:szCs w:val="26"/>
        </w:rPr>
        <w:t>«Транспорт»</w:t>
      </w:r>
    </w:p>
    <w:p w:rsidR="00E85D42" w:rsidRDefault="008113B9">
      <w:pPr>
        <w:spacing w:line="276" w:lineRule="auto"/>
        <w:ind w:firstLine="709"/>
        <w:jc w:val="both"/>
        <w:rPr>
          <w:sz w:val="24"/>
          <w:szCs w:val="24"/>
        </w:rPr>
      </w:pPr>
      <w:r>
        <w:rPr>
          <w:sz w:val="24"/>
          <w:szCs w:val="24"/>
        </w:rPr>
        <w:t>Для расчета рыночной стоимости земельных участков соответствующего назначения был проведен анализ рынка свободных (незастроенных) и застроенных земельных</w:t>
      </w:r>
      <w:r>
        <w:rPr>
          <w:sz w:val="24"/>
          <w:szCs w:val="24"/>
        </w:rPr>
        <w:t xml:space="preserve"> участков, расположенных в Республике Башкортостан.</w:t>
      </w:r>
    </w:p>
    <w:p w:rsidR="00E85D42" w:rsidRDefault="008113B9">
      <w:pPr>
        <w:spacing w:line="276" w:lineRule="auto"/>
        <w:ind w:firstLine="709"/>
        <w:jc w:val="both"/>
      </w:pPr>
      <w:r>
        <w:rPr>
          <w:sz w:val="24"/>
          <w:szCs w:val="24"/>
        </w:rPr>
        <w:t xml:space="preserve">В качестве исходных данных использовались рыночные цены (цены предложений) 1 кв. м площади предлагаемых земельных участков и цены 1 кв.м. площади совершенных сделок торгов/аукционов. При этом для расчета </w:t>
      </w:r>
      <w:r>
        <w:rPr>
          <w:sz w:val="24"/>
          <w:szCs w:val="24"/>
        </w:rPr>
        <w:t>стоимости 1 кв. м застроенного земельного участка (при наличии информации в тексте объявления) использовалась информация о стоимости самого участка, а также среднее значение доли земельного участка в стоимости единого объекта недвижимости. Доля стоимости з</w:t>
      </w:r>
      <w:r>
        <w:rPr>
          <w:sz w:val="24"/>
          <w:szCs w:val="24"/>
        </w:rPr>
        <w:t>емельного участка в стоимости единого объекта недвижимости определялась в соответствии с Методическими указаниями о государственной кадастровой оценке, утвержденными Приказом Минэкономразвития России от 12 мая 2017 года № 226. Согласно которому доля стоимо</w:t>
      </w:r>
      <w:r>
        <w:rPr>
          <w:sz w:val="24"/>
          <w:szCs w:val="24"/>
        </w:rPr>
        <w:t>сти земельного участка составляет 15-30% от общей стоимости единого объекта недвижимости. Корректировка для застроенных земельных участков принята как среднее значение – 22,5% от стоимости предложения/сделки. В соответствии с приведенным порядком сформиров</w:t>
      </w:r>
      <w:r>
        <w:rPr>
          <w:sz w:val="24"/>
          <w:szCs w:val="24"/>
        </w:rPr>
        <w:t xml:space="preserve">ана выборка цен предложений/сделок с земельными участками, которые с учетом введенной корректировки рассматриваются как незастроенные. </w:t>
      </w:r>
    </w:p>
    <w:p w:rsidR="00E85D42" w:rsidRDefault="008113B9">
      <w:pPr>
        <w:spacing w:line="276" w:lineRule="auto"/>
        <w:ind w:firstLine="709"/>
        <w:jc w:val="both"/>
        <w:rPr>
          <w:sz w:val="24"/>
          <w:szCs w:val="24"/>
        </w:rPr>
      </w:pPr>
      <w:r>
        <w:rPr>
          <w:sz w:val="24"/>
          <w:szCs w:val="24"/>
        </w:rPr>
        <w:t>Всего было рассмотрено 380 сформированных, описанных выше образом, земельных участков, расположенных в городах Республик</w:t>
      </w:r>
      <w:r>
        <w:rPr>
          <w:sz w:val="24"/>
          <w:szCs w:val="24"/>
        </w:rPr>
        <w:t xml:space="preserve">и Башкортостан. </w:t>
      </w:r>
    </w:p>
    <w:p w:rsidR="00E85D42" w:rsidRDefault="008113B9">
      <w:pPr>
        <w:spacing w:after="120" w:line="276" w:lineRule="auto"/>
        <w:ind w:firstLine="708"/>
        <w:jc w:val="both"/>
        <w:rPr>
          <w:sz w:val="24"/>
          <w:szCs w:val="24"/>
        </w:rPr>
      </w:pPr>
      <w:r>
        <w:rPr>
          <w:sz w:val="24"/>
          <w:szCs w:val="24"/>
        </w:rPr>
        <w:t>В сельских населенных пунктах Республики Башкортостан основную территорию занимает индивидуальная жилая застройка, в связи с чем отсутствует предложение на машиноместо и гаражи. В связи с этим в зонах индивидуальной жилой застройки актуаль</w:t>
      </w:r>
      <w:r>
        <w:rPr>
          <w:sz w:val="24"/>
          <w:szCs w:val="24"/>
        </w:rPr>
        <w:t>ны индивидуальные гаражи, возводимые около индивидуальных жилых домов. Соответственно в таких районах данный сегмент рынка недвижимости отсутствует, поскольку гаражи продаются совместно с жилыми домами.</w:t>
      </w:r>
    </w:p>
    <w:p w:rsidR="00E85D42" w:rsidRDefault="008113B9">
      <w:pPr>
        <w:spacing w:after="120" w:line="276" w:lineRule="auto"/>
        <w:ind w:firstLine="708"/>
        <w:jc w:val="right"/>
        <w:rPr>
          <w:sz w:val="24"/>
          <w:szCs w:val="24"/>
        </w:rPr>
      </w:pPr>
      <w:r>
        <w:rPr>
          <w:sz w:val="24"/>
          <w:szCs w:val="24"/>
        </w:rPr>
        <w:t>Диаграмма 3.1.6.1</w:t>
      </w:r>
    </w:p>
    <w:p w:rsidR="00E85D42" w:rsidRDefault="008113B9">
      <w:pPr>
        <w:spacing w:after="120" w:line="276" w:lineRule="auto"/>
        <w:ind w:firstLine="708"/>
      </w:pPr>
      <w:r>
        <w:rPr>
          <w:noProof/>
        </w:rPr>
        <w:drawing>
          <wp:inline distT="0" distB="0" distL="0" distR="0">
            <wp:extent cx="4572000" cy="2743200"/>
            <wp:effectExtent l="0" t="0" r="0" b="0"/>
            <wp:docPr id="112"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rsidR="00E85D42" w:rsidRDefault="008113B9">
      <w:pPr>
        <w:spacing w:line="276" w:lineRule="auto"/>
        <w:ind w:firstLine="709"/>
        <w:jc w:val="both"/>
        <w:rPr>
          <w:sz w:val="24"/>
          <w:szCs w:val="24"/>
        </w:rPr>
      </w:pPr>
      <w:r>
        <w:rPr>
          <w:sz w:val="24"/>
          <w:szCs w:val="24"/>
        </w:rPr>
        <w:t>В следующей таблице приведены сре</w:t>
      </w:r>
      <w:r>
        <w:rPr>
          <w:sz w:val="24"/>
          <w:szCs w:val="24"/>
        </w:rPr>
        <w:t>дние, минимальные и максимальные значения удельных цен предложений/сделок земельных участков, а также количество объектов-аналогов, сгруппированные по городам Республики Башкортостан.</w:t>
      </w:r>
    </w:p>
    <w:p w:rsidR="00E85D42" w:rsidRDefault="008113B9">
      <w:pPr>
        <w:pStyle w:val="ad"/>
        <w:keepNext/>
        <w:jc w:val="right"/>
        <w:rPr>
          <w:b w:val="0"/>
          <w:i w:val="0"/>
          <w:sz w:val="24"/>
          <w:szCs w:val="24"/>
        </w:rPr>
      </w:pPr>
      <w:r>
        <w:rPr>
          <w:b w:val="0"/>
          <w:i w:val="0"/>
          <w:sz w:val="24"/>
          <w:szCs w:val="24"/>
        </w:rPr>
        <w:t>Таблица 3.1.6.4</w:t>
      </w:r>
    </w:p>
    <w:tbl>
      <w:tblPr>
        <w:tblW w:w="5000" w:type="pct"/>
        <w:tblCellMar>
          <w:left w:w="10" w:type="dxa"/>
          <w:right w:w="10" w:type="dxa"/>
        </w:tblCellMar>
        <w:tblLook w:val="04A0" w:firstRow="1" w:lastRow="0" w:firstColumn="1" w:lastColumn="0" w:noHBand="0" w:noVBand="1"/>
      </w:tblPr>
      <w:tblGrid>
        <w:gridCol w:w="748"/>
        <w:gridCol w:w="3342"/>
        <w:gridCol w:w="1330"/>
        <w:gridCol w:w="1384"/>
        <w:gridCol w:w="1384"/>
        <w:gridCol w:w="1382"/>
      </w:tblGrid>
      <w:tr w:rsidR="00E85D42">
        <w:tblPrEx>
          <w:tblCellMar>
            <w:top w:w="0" w:type="dxa"/>
            <w:bottom w:w="0" w:type="dxa"/>
          </w:tblCellMar>
        </w:tblPrEx>
        <w:trPr>
          <w:trHeight w:val="960"/>
          <w:tblHeader/>
        </w:trPr>
        <w:tc>
          <w:tcPr>
            <w:tcW w:w="74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Код района</w:t>
            </w:r>
          </w:p>
        </w:tc>
        <w:tc>
          <w:tcPr>
            <w:tcW w:w="3342"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Район</w:t>
            </w:r>
          </w:p>
        </w:tc>
        <w:tc>
          <w:tcPr>
            <w:tcW w:w="1330"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Количество объектов</w:t>
            </w:r>
          </w:p>
        </w:tc>
        <w:tc>
          <w:tcPr>
            <w:tcW w:w="1384"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 xml:space="preserve">Минимальная </w:t>
            </w:r>
            <w:r>
              <w:rPr>
                <w:b/>
                <w:bCs/>
                <w:color w:val="000000"/>
                <w:sz w:val="16"/>
                <w:szCs w:val="16"/>
              </w:rPr>
              <w:t>стоимость, руб./кв.м.</w:t>
            </w:r>
          </w:p>
        </w:tc>
        <w:tc>
          <w:tcPr>
            <w:tcW w:w="1384"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Средняя стоимость, руб./кв.м.</w:t>
            </w:r>
          </w:p>
        </w:tc>
        <w:tc>
          <w:tcPr>
            <w:tcW w:w="1382" w:type="dxa"/>
            <w:tcBorders>
              <w:top w:val="single" w:sz="4" w:space="0" w:color="000000"/>
              <w:bottom w:val="single" w:sz="4" w:space="0" w:color="000000"/>
              <w:right w:val="single" w:sz="4" w:space="0" w:color="000000"/>
            </w:tcBorders>
            <w:shd w:val="clear" w:color="auto" w:fill="FBD4B4"/>
            <w:tcMar>
              <w:top w:w="0" w:type="dxa"/>
              <w:left w:w="108" w:type="dxa"/>
              <w:bottom w:w="0" w:type="dxa"/>
              <w:right w:w="108" w:type="dxa"/>
            </w:tcMar>
            <w:vAlign w:val="center"/>
          </w:tcPr>
          <w:p w:rsidR="00E85D42" w:rsidRDefault="008113B9">
            <w:pPr>
              <w:jc w:val="center"/>
              <w:rPr>
                <w:b/>
                <w:bCs/>
                <w:color w:val="000000"/>
                <w:sz w:val="16"/>
                <w:szCs w:val="16"/>
              </w:rPr>
            </w:pPr>
            <w:r>
              <w:rPr>
                <w:b/>
                <w:bCs/>
                <w:color w:val="000000"/>
                <w:sz w:val="16"/>
                <w:szCs w:val="16"/>
              </w:rPr>
              <w:t>Максимальная стоимость, руб./кв.м.</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02:74</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Агидель</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880</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900</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920</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02:60</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Кумертау</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30</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453</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1310</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3167</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02:66</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Нефтекамск</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40</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332</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1321</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2493</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02:57</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Октябрьский</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14</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1080</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2526</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4402</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02:59</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Салават</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8</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1259</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1932</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2893</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02:61</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Сибай</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723</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924</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1125</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02:56</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Стерлитамак</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54</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571</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1541</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3854</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02:55</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Уфа</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200</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500</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2910</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9706</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02:09</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Белебей</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5</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292</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751</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1611</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02:11</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Белорецк</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7</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422</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1419</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2736</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02:13</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Бирск</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3</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900</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2305</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4402</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02:15</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Благовещенск</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1527</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1527</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1527</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02:28</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Ишимбай</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900</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1789</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2679</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02:37</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Мелеуз</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5</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818</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1751</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rPr>
            </w:pPr>
            <w:r>
              <w:rPr>
                <w:color w:val="000000"/>
                <w:sz w:val="16"/>
                <w:szCs w:val="16"/>
              </w:rPr>
              <w:t>2446</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02:46</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Туймазы</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3</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865</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967</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1071</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02:48</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Учалы</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3</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536</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1224</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1594</w:t>
            </w:r>
          </w:p>
        </w:tc>
      </w:tr>
      <w:tr w:rsidR="00E85D42">
        <w:tblPrEx>
          <w:tblCellMar>
            <w:top w:w="0" w:type="dxa"/>
            <w:bottom w:w="0" w:type="dxa"/>
          </w:tblCellMar>
        </w:tblPrEx>
        <w:trPr>
          <w:trHeight w:val="300"/>
        </w:trPr>
        <w:tc>
          <w:tcPr>
            <w:tcW w:w="74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02:54</w:t>
            </w:r>
          </w:p>
        </w:tc>
        <w:tc>
          <w:tcPr>
            <w:tcW w:w="334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6"/>
                <w:szCs w:val="16"/>
              </w:rPr>
            </w:pPr>
            <w:r>
              <w:rPr>
                <w:color w:val="000000"/>
                <w:sz w:val="16"/>
                <w:szCs w:val="16"/>
              </w:rPr>
              <w:t>Город Янаул</w:t>
            </w:r>
          </w:p>
        </w:tc>
        <w:tc>
          <w:tcPr>
            <w:tcW w:w="13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1</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333</w:t>
            </w:r>
          </w:p>
        </w:tc>
        <w:tc>
          <w:tcPr>
            <w:tcW w:w="13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6"/>
                <w:szCs w:val="16"/>
                <w:lang w:val="en-US"/>
              </w:rPr>
            </w:pPr>
            <w:r>
              <w:rPr>
                <w:color w:val="000000"/>
                <w:sz w:val="16"/>
                <w:szCs w:val="16"/>
                <w:lang w:val="en-US"/>
              </w:rPr>
              <w:t>333</w:t>
            </w:r>
          </w:p>
        </w:tc>
        <w:tc>
          <w:tcPr>
            <w:tcW w:w="13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000000"/>
                <w:sz w:val="16"/>
                <w:szCs w:val="16"/>
                <w:lang w:val="en-US"/>
              </w:rPr>
              <w:t>333</w:t>
            </w:r>
          </w:p>
        </w:tc>
      </w:tr>
    </w:tbl>
    <w:p w:rsidR="00E85D42" w:rsidRDefault="00E85D42">
      <w:pPr>
        <w:spacing w:after="120" w:line="276" w:lineRule="auto"/>
        <w:ind w:firstLine="708"/>
        <w:jc w:val="right"/>
        <w:rPr>
          <w:sz w:val="24"/>
          <w:szCs w:val="24"/>
        </w:rPr>
      </w:pPr>
    </w:p>
    <w:p w:rsidR="00E85D42" w:rsidRDefault="008113B9">
      <w:pPr>
        <w:spacing w:after="120" w:line="276" w:lineRule="auto"/>
        <w:ind w:firstLine="708"/>
        <w:jc w:val="right"/>
        <w:rPr>
          <w:sz w:val="24"/>
          <w:szCs w:val="24"/>
        </w:rPr>
      </w:pPr>
      <w:r>
        <w:rPr>
          <w:sz w:val="24"/>
          <w:szCs w:val="24"/>
        </w:rPr>
        <w:t>Диаграмма 3.1.6.2</w:t>
      </w:r>
    </w:p>
    <w:p w:rsidR="00E85D42" w:rsidRDefault="008113B9">
      <w:pPr>
        <w:jc w:val="center"/>
      </w:pPr>
      <w:r>
        <w:rPr>
          <w:noProof/>
        </w:rPr>
        <w:drawing>
          <wp:inline distT="0" distB="0" distL="0" distR="0">
            <wp:extent cx="5939786" cy="3231517"/>
            <wp:effectExtent l="0" t="0" r="0" b="0"/>
            <wp:docPr id="113"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rsidR="00E85D42" w:rsidRDefault="00E85D42">
      <w:pPr>
        <w:jc w:val="center"/>
        <w:rPr>
          <w:sz w:val="24"/>
          <w:szCs w:val="24"/>
        </w:rPr>
      </w:pPr>
    </w:p>
    <w:p w:rsidR="00E85D42" w:rsidRDefault="00E85D42">
      <w:pPr>
        <w:ind w:firstLine="708"/>
        <w:jc w:val="both"/>
        <w:rPr>
          <w:sz w:val="24"/>
        </w:rPr>
      </w:pPr>
    </w:p>
    <w:p w:rsidR="00E85D42" w:rsidRDefault="00E85D42">
      <w:pPr>
        <w:ind w:firstLine="708"/>
        <w:jc w:val="both"/>
        <w:rPr>
          <w:sz w:val="24"/>
        </w:rPr>
      </w:pPr>
    </w:p>
    <w:p w:rsidR="00E85D42" w:rsidRDefault="00E85D42">
      <w:pPr>
        <w:ind w:firstLine="708"/>
        <w:jc w:val="both"/>
        <w:rPr>
          <w:sz w:val="24"/>
        </w:rPr>
      </w:pPr>
    </w:p>
    <w:p w:rsidR="00E85D42" w:rsidRDefault="00E85D42">
      <w:pPr>
        <w:ind w:firstLine="708"/>
        <w:jc w:val="both"/>
        <w:rPr>
          <w:sz w:val="24"/>
        </w:rPr>
      </w:pPr>
    </w:p>
    <w:p w:rsidR="00E85D42" w:rsidRDefault="00E85D42">
      <w:pPr>
        <w:ind w:firstLine="708"/>
        <w:jc w:val="both"/>
        <w:rPr>
          <w:sz w:val="24"/>
        </w:rPr>
      </w:pPr>
    </w:p>
    <w:p w:rsidR="00E85D42" w:rsidRDefault="00E85D42">
      <w:pPr>
        <w:rPr>
          <w:b/>
          <w:sz w:val="24"/>
        </w:rPr>
      </w:pPr>
    </w:p>
    <w:p w:rsidR="00E85D42" w:rsidRDefault="008113B9">
      <w:pPr>
        <w:spacing w:line="276" w:lineRule="auto"/>
        <w:ind w:right="-57"/>
        <w:jc w:val="center"/>
        <w:rPr>
          <w:b/>
          <w:sz w:val="26"/>
          <w:szCs w:val="26"/>
        </w:rPr>
      </w:pPr>
      <w:r>
        <w:rPr>
          <w:b/>
          <w:sz w:val="26"/>
          <w:szCs w:val="26"/>
        </w:rPr>
        <w:t xml:space="preserve">Анализ </w:t>
      </w:r>
      <w:r>
        <w:rPr>
          <w:b/>
          <w:sz w:val="26"/>
          <w:szCs w:val="26"/>
        </w:rPr>
        <w:t>рыночной информации земельных участков коммерческого назначения.</w:t>
      </w:r>
    </w:p>
    <w:p w:rsidR="00E85D42" w:rsidRDefault="008113B9">
      <w:pPr>
        <w:pStyle w:val="a6"/>
        <w:spacing w:line="276" w:lineRule="auto"/>
        <w:ind w:firstLine="709"/>
      </w:pPr>
      <w:r>
        <w:t xml:space="preserve">На этапе подготовки к проведению государственной кадастровой оценки Исполнителем были собраны данные о ценах предложений на рынке земельных участков коммерческого назначения, расположенных в </w:t>
      </w:r>
      <w:r>
        <w:t>Республике Башкортостан.</w:t>
      </w:r>
    </w:p>
    <w:p w:rsidR="00E85D42" w:rsidRDefault="008113B9">
      <w:pPr>
        <w:pStyle w:val="a6"/>
        <w:spacing w:line="276" w:lineRule="auto"/>
        <w:ind w:firstLine="709"/>
      </w:pPr>
      <w:r>
        <w:t>Всего проанализировано 839 объявлений о продажах объектов недвижимости коммерческого назначения на территории Республики Башкортостан: из них в г.Уфа – 229, города РБ - 290, сельские населенные пункты – 320).</w:t>
      </w:r>
    </w:p>
    <w:p w:rsidR="00E85D42" w:rsidRDefault="008113B9">
      <w:pPr>
        <w:pStyle w:val="a6"/>
        <w:spacing w:line="276" w:lineRule="auto"/>
        <w:ind w:firstLine="709"/>
      </w:pPr>
      <w:r>
        <w:t>При анализе рыночной и</w:t>
      </w:r>
      <w:r>
        <w:t>нформации исключены повторяющиеся объекты-аналоги. При этом дублирующая информация (предложение к продаже одного участка, опубликованное разными посредниками или в разное время) не учитывалась, если ее можно однозначно признать таковой. Использовалось объя</w:t>
      </w:r>
      <w:r>
        <w:t>вление более близкое к дате оценки.</w:t>
      </w:r>
    </w:p>
    <w:p w:rsidR="00E85D42" w:rsidRDefault="008113B9">
      <w:pPr>
        <w:pStyle w:val="a6"/>
        <w:spacing w:line="276" w:lineRule="auto"/>
        <w:ind w:firstLine="709"/>
      </w:pPr>
      <w:r>
        <w:t xml:space="preserve">В связи с недостаточным числом свободных от застройки земельных участков для коммерческого использования в том числе анализировались земельные участки, на которых имеются объекты капитального строительства (ОКСы). </w:t>
      </w:r>
    </w:p>
    <w:p w:rsidR="00E85D42" w:rsidRDefault="008113B9">
      <w:pPr>
        <w:pStyle w:val="a6"/>
        <w:spacing w:line="276" w:lineRule="auto"/>
        <w:ind w:firstLine="709"/>
      </w:pPr>
      <w:r>
        <w:t>Часть</w:t>
      </w:r>
      <w:r>
        <w:t xml:space="preserve"> информации, не указанной в объявлении (или информации, уточняющей объявление), была получена в качестве ответов на запрос по электронной почте и в результате телефонного общения с продавцом (риэлтором). Информация о таком уточнении указана при описании со</w:t>
      </w:r>
      <w:r>
        <w:t>ответствующего объекта в базе данных.</w:t>
      </w:r>
    </w:p>
    <w:p w:rsidR="00E85D42" w:rsidRDefault="008113B9">
      <w:pPr>
        <w:pStyle w:val="a6"/>
        <w:spacing w:line="276" w:lineRule="auto"/>
        <w:ind w:firstLine="709"/>
      </w:pPr>
      <w:r>
        <w:t>Анализ информации о ценах предложений в сегментах рынка объектов недвижимости проводился с целью обеспечения непротиворечивости рыночной информации и обеспечения достаточности рыночной информации.</w:t>
      </w:r>
    </w:p>
    <w:p w:rsidR="00E85D42" w:rsidRDefault="008113B9">
      <w:pPr>
        <w:pStyle w:val="a6"/>
        <w:spacing w:line="276" w:lineRule="auto"/>
        <w:ind w:firstLine="709"/>
      </w:pPr>
      <w:r>
        <w:t>В процессе сбора данн</w:t>
      </w:r>
      <w:r>
        <w:t>ых в рамках подготовки к проведению ГКО о ценах на земельные участки в Республике Башкортостан Исполнителем было выявлено, что часть объектов недвижимости, отнесенных в Методических указаниях к определенному сегменту, на рынке земельных участков может отно</w:t>
      </w:r>
      <w:r>
        <w:t>ситься к разным сегментам и наоборот.</w:t>
      </w:r>
    </w:p>
    <w:p w:rsidR="00E85D42" w:rsidRDefault="00E85D42">
      <w:pPr>
        <w:spacing w:line="360" w:lineRule="auto"/>
        <w:jc w:val="both"/>
        <w:rPr>
          <w:spacing w:val="-5"/>
          <w:sz w:val="24"/>
          <w:szCs w:val="24"/>
          <w:shd w:val="clear" w:color="auto" w:fill="FFFF00"/>
        </w:rPr>
      </w:pPr>
    </w:p>
    <w:p w:rsidR="00E85D42" w:rsidRDefault="008113B9">
      <w:pPr>
        <w:spacing w:line="276" w:lineRule="auto"/>
        <w:ind w:firstLine="567"/>
        <w:jc w:val="center"/>
        <w:rPr>
          <w:b/>
          <w:sz w:val="26"/>
          <w:szCs w:val="26"/>
        </w:rPr>
      </w:pPr>
      <w:r>
        <w:rPr>
          <w:b/>
          <w:sz w:val="26"/>
          <w:szCs w:val="26"/>
        </w:rPr>
        <w:t>Анализ рыночной информации по сегменту «Производственная деятельность»</w:t>
      </w:r>
    </w:p>
    <w:p w:rsidR="00E85D42" w:rsidRDefault="008113B9">
      <w:pPr>
        <w:pStyle w:val="a6"/>
        <w:spacing w:line="276" w:lineRule="auto"/>
        <w:ind w:firstLine="709"/>
      </w:pPr>
      <w:r>
        <w:t>К сегменту «Производственная деятельность» относятся разные виды сельскохозяйственного производства и промышленности</w:t>
      </w:r>
      <w:r>
        <w:rPr>
          <w:vertAlign w:val="superscript"/>
        </w:rPr>
        <w:footnoteReference w:id="20"/>
      </w:r>
      <w:r>
        <w:rPr>
          <w:vertAlign w:val="superscript"/>
        </w:rPr>
        <w:t>.</w:t>
      </w:r>
    </w:p>
    <w:p w:rsidR="00E85D42" w:rsidRDefault="008113B9">
      <w:pPr>
        <w:pStyle w:val="a6"/>
        <w:spacing w:line="276" w:lineRule="auto"/>
        <w:ind w:firstLine="709"/>
      </w:pPr>
      <w:r>
        <w:t xml:space="preserve">К сельскохозяйственному производству относится размещение зданий, сооружений используемых для: содержания и разведения скота, животных, домашних пород птиц, хранение кормов; осуществления рыбоводства; хранения и первичной </w:t>
      </w:r>
      <w:r>
        <w:t>переработки продукции пчеловодства; производства, хранения, первичной и глубокой переработки сельскохозяйственной продукции и другие.</w:t>
      </w:r>
    </w:p>
    <w:p w:rsidR="00E85D42" w:rsidRDefault="008113B9">
      <w:pPr>
        <w:pStyle w:val="a6"/>
        <w:spacing w:line="276" w:lineRule="auto"/>
        <w:ind w:firstLine="709"/>
      </w:pPr>
      <w:r>
        <w:t>К промышленности относится недропользование, тяжелая, автомобилестроительная, легкая, фармацевтическая, пищевая, нефтехими</w:t>
      </w:r>
      <w:r>
        <w:t xml:space="preserve">ческая промышленности, энергетика, склады и другие. </w:t>
      </w:r>
    </w:p>
    <w:p w:rsidR="00E85D42" w:rsidRDefault="008113B9">
      <w:pPr>
        <w:pStyle w:val="a6"/>
        <w:spacing w:line="276" w:lineRule="auto"/>
        <w:ind w:firstLine="709"/>
      </w:pPr>
      <w:r>
        <w:t>Для расчета стоимости 1 кв. м застроенного земельного участка использовалась информация о стоимости единого объекта недвижимости, а также среднее значение доли стоимости земельного участка в стоимости ед</w:t>
      </w:r>
      <w:r>
        <w:t>иного объекта недвижимости в соответствии с Приложением № 7 Методических Указаний.</w:t>
      </w:r>
    </w:p>
    <w:p w:rsidR="00E85D42" w:rsidRDefault="00E85D42">
      <w:pPr>
        <w:jc w:val="both"/>
        <w:rPr>
          <w:spacing w:val="-5"/>
          <w:sz w:val="24"/>
          <w:szCs w:val="24"/>
          <w:lang w:eastAsia="en-US"/>
        </w:rPr>
      </w:pPr>
    </w:p>
    <w:p w:rsidR="00E85D42" w:rsidRDefault="008113B9">
      <w:pPr>
        <w:jc w:val="center"/>
        <w:rPr>
          <w:spacing w:val="-5"/>
          <w:sz w:val="24"/>
          <w:szCs w:val="24"/>
          <w:lang w:eastAsia="en-US"/>
        </w:rPr>
      </w:pPr>
      <w:r>
        <w:rPr>
          <w:spacing w:val="-5"/>
          <w:sz w:val="24"/>
          <w:szCs w:val="24"/>
          <w:lang w:eastAsia="en-US"/>
        </w:rPr>
        <w:t>Информация о ценах предложений по земельным участкам промышленного назначения в разбивке по муниципальным образованиям приведена в таблице ниже.</w:t>
      </w:r>
    </w:p>
    <w:p w:rsidR="00E85D42" w:rsidRDefault="008113B9">
      <w:pPr>
        <w:pStyle w:val="ad"/>
        <w:keepNext/>
        <w:jc w:val="right"/>
        <w:rPr>
          <w:b w:val="0"/>
          <w:i w:val="0"/>
          <w:sz w:val="24"/>
          <w:szCs w:val="24"/>
        </w:rPr>
      </w:pPr>
      <w:r>
        <w:rPr>
          <w:b w:val="0"/>
          <w:i w:val="0"/>
          <w:sz w:val="24"/>
          <w:szCs w:val="24"/>
        </w:rPr>
        <w:t>Таблица 3.1.6.5</w:t>
      </w:r>
    </w:p>
    <w:tbl>
      <w:tblPr>
        <w:tblW w:w="5000" w:type="pct"/>
        <w:tblCellMar>
          <w:left w:w="10" w:type="dxa"/>
          <w:right w:w="10" w:type="dxa"/>
        </w:tblCellMar>
        <w:tblLook w:val="04A0" w:firstRow="1" w:lastRow="0" w:firstColumn="1" w:lastColumn="0" w:noHBand="0" w:noVBand="1"/>
      </w:tblPr>
      <w:tblGrid>
        <w:gridCol w:w="851"/>
        <w:gridCol w:w="2144"/>
        <w:gridCol w:w="1543"/>
        <w:gridCol w:w="1665"/>
        <w:gridCol w:w="1631"/>
        <w:gridCol w:w="1736"/>
      </w:tblGrid>
      <w:tr w:rsidR="00E85D42">
        <w:tblPrEx>
          <w:tblCellMar>
            <w:top w:w="0" w:type="dxa"/>
            <w:bottom w:w="0" w:type="dxa"/>
          </w:tblCellMar>
        </w:tblPrEx>
        <w:trPr>
          <w:trHeight w:val="2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№п/п</w:t>
            </w:r>
          </w:p>
        </w:tc>
        <w:tc>
          <w:tcPr>
            <w:tcW w:w="21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Наименование муниципального образования</w:t>
            </w:r>
          </w:p>
        </w:tc>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Наименование вида использования</w:t>
            </w:r>
          </w:p>
        </w:tc>
      </w:tr>
      <w:tr w:rsidR="00E85D42">
        <w:tblPrEx>
          <w:tblCellMar>
            <w:top w:w="0" w:type="dxa"/>
            <w:bottom w:w="0" w:type="dxa"/>
          </w:tblCellMar>
        </w:tblPrEx>
        <w:trPr>
          <w:trHeight w:val="20"/>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Производственная деятельность</w:t>
            </w:r>
          </w:p>
        </w:tc>
      </w:tr>
      <w:tr w:rsidR="00E85D42">
        <w:tblPrEx>
          <w:tblCellMar>
            <w:top w:w="0" w:type="dxa"/>
            <w:bottom w:w="0" w:type="dxa"/>
          </w:tblCellMar>
        </w:tblPrEx>
        <w:trPr>
          <w:trHeight w:val="20"/>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Количество предложений, ед.</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Минимальная удельная цена предложения, руб./кв. м</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Максимальная удельная цена предложения, руб./кв. м</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Средняя удельная </w:t>
            </w:r>
            <w:r>
              <w:rPr>
                <w:color w:val="000000"/>
                <w:sz w:val="18"/>
                <w:szCs w:val="18"/>
              </w:rPr>
              <w:t>цена предложения, руб./кв. м</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21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Абзелиловский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21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Альшеевский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Архангельский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35</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68</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52</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Аскинский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23</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50</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40</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Аургазинский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Баймакский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Бакалинский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400</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143</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Балтачевский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Белорецкий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721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721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721</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Бижбулякский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140</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64</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Благоварский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192</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Благовещенский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Буздякский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273</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Бураевский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Бурзянский </w:t>
            </w:r>
            <w:r>
              <w:rPr>
                <w:color w:val="000000"/>
                <w:sz w:val="18"/>
                <w:szCs w:val="18"/>
              </w:rPr>
              <w:t>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Гафурийский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Дюртюлинский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Ермекеевский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Зианчуринский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28</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28</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Иглинский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2433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Илишевский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28</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Ишимбайский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Калтасинский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30</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Караидельский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Кармаскалинский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114</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Кигинский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753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274</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Краснокамский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Кугарчинский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274</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274</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274</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35</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Куюргазинский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Кушнаренковский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2667</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440</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Мелеузовский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236</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Мечетлинский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98</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77</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39</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Мишкинский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80</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45</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Нуримановский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225</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132</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Салаватский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483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297</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Стерлибашевский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728</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245</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44</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Стерлитамакский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46</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Туймазинский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79</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47</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Уфимский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88</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1556</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563</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Чекмагушевский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111</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Чишминский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225</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169</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Шаранский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268</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268</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54</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Янаульский район</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55</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Уфа</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84</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23</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15165</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1310</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Стерлитамак</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5138</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745</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Октябрьский</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2064</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613</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58</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Ишимбай</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39</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260</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107</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Салават</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126</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60</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Кумертау</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16</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4</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1000</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372</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Сибай</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206</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Белорецк</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135</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731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418</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Белебей</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1482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743</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64</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г. </w:t>
            </w:r>
            <w:r>
              <w:rPr>
                <w:color w:val="000000"/>
                <w:sz w:val="18"/>
                <w:szCs w:val="18"/>
              </w:rPr>
              <w:t>Бирск</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149</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103</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65</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Туймазы</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1651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556</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66</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Нефтекамск</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15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31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884</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365</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67</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Учалы</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206</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68</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Мелеуз</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69</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359</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200</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69</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Благовещенск</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1515</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441</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Давлеканово</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292</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187</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Янаул</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998</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389</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74</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Агидель</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93</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129</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111</w:t>
            </w:r>
          </w:p>
        </w:tc>
      </w:tr>
      <w:tr w:rsidR="00E85D42">
        <w:tblPrEx>
          <w:tblCellMar>
            <w:top w:w="0" w:type="dxa"/>
            <w:bottom w:w="0" w:type="dxa"/>
          </w:tblCellMar>
        </w:tblPrEx>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ИТОГО</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350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w:t>
            </w:r>
          </w:p>
        </w:tc>
      </w:tr>
    </w:tbl>
    <w:p w:rsidR="00E85D42" w:rsidRDefault="00E85D42">
      <w:pPr>
        <w:jc w:val="both"/>
        <w:rPr>
          <w:i/>
          <w:spacing w:val="-5"/>
          <w:lang w:eastAsia="en-US"/>
        </w:rPr>
      </w:pPr>
    </w:p>
    <w:p w:rsidR="00E85D42" w:rsidRDefault="008113B9">
      <w:pPr>
        <w:pStyle w:val="a6"/>
        <w:spacing w:line="276" w:lineRule="auto"/>
        <w:ind w:firstLine="709"/>
      </w:pPr>
      <w:r>
        <w:t xml:space="preserve">Как видно из Таблицы № 3.1.6.7 существует значительное различие между минимальными, а также максимальными ценами предложения стоимости земельных участков в сопоставимых муниципальных районах, городах РБ (не входят в диапазон рыночных </w:t>
      </w:r>
      <w:r>
        <w:t>цен по данным районам и городам).</w:t>
      </w:r>
    </w:p>
    <w:p w:rsidR="00E85D42" w:rsidRDefault="008113B9">
      <w:pPr>
        <w:pStyle w:val="a6"/>
        <w:spacing w:line="276" w:lineRule="auto"/>
        <w:ind w:firstLine="709"/>
      </w:pPr>
      <w:r>
        <w:t xml:space="preserve">Это связано с тем, что в сегмент «Производственная деятельность» включены объекты: </w:t>
      </w:r>
    </w:p>
    <w:p w:rsidR="00E85D42" w:rsidRDefault="008113B9">
      <w:pPr>
        <w:pStyle w:val="a6"/>
        <w:spacing w:line="276" w:lineRule="auto"/>
        <w:ind w:firstLine="709"/>
      </w:pPr>
      <w:r>
        <w:t>-сельскохозяйственного производства (Абзелиловский район (7 руб./кв.м.), Бакалинский район (12 руб./кв.м.), Стерлитамакский район (4 руб/к</w:t>
      </w:r>
      <w:r>
        <w:t>в.м., 15 руб./кв.м.), Кушнаренковский район (6 руб./кв.м.), Краснокамский район (3 руб./кв.м.), Дюртюлинский (7 руб./кв.м.), Ишимбайский район (34 руб./кв.м.), Кармаскалинский район (6 руб./кв.м.), (Кигинский район (14 руб./кв.м.), Куюргазинский район (4 р</w:t>
      </w:r>
      <w:r>
        <w:t>уб./кв.м.), Мелеузовский район (3 руб./кв.м.), Стерлибашевский район (2 руб./кв.м.), Туймазинский район (10 руб./кв.м.), г. Сибай (2 руб./кв.м.);</w:t>
      </w:r>
    </w:p>
    <w:p w:rsidR="00E85D42" w:rsidRDefault="008113B9">
      <w:pPr>
        <w:pStyle w:val="a6"/>
        <w:spacing w:line="276" w:lineRule="auto"/>
        <w:ind w:firstLine="709"/>
      </w:pPr>
      <w:r>
        <w:rPr>
          <w:spacing w:val="-5"/>
          <w:lang w:eastAsia="en-US"/>
        </w:rPr>
        <w:t>-</w:t>
      </w:r>
      <w:r>
        <w:t>промышленные объекты (цена предложения варьируется в зависимости от местоположения объекта, площади, и др.) (</w:t>
      </w:r>
      <w:r>
        <w:t>Калтасинский район (19 руб./кв.м. (большая площадь участка 26 440 кв.м., окраина села), (г. Нефтекамск (31 руб./кв.м.) объект расположен на окраине города в промышленной зоне), Гафурийский район (3 руб./кв.м.) на окраине села (г. Стерлитамак (3 руб./кв.м.)</w:t>
      </w:r>
      <w:r>
        <w:t xml:space="preserve"> промышленная зона), г.Янаул (10 руб./кв.м.) окраина города);</w:t>
      </w:r>
    </w:p>
    <w:p w:rsidR="00E85D42" w:rsidRDefault="008113B9">
      <w:pPr>
        <w:pStyle w:val="a6"/>
        <w:spacing w:line="276" w:lineRule="auto"/>
        <w:ind w:firstLine="709"/>
      </w:pPr>
      <w:r>
        <w:t>-объекты, проданные на торгах (г.Ишимбай (39 руб./кв.м.), г.Кумертау (4 руб./кв.м.), Архангельский район (35 руб./кв.м.), Баймакский район (от 1 до 41 руб./кв.м.), Балтачевский район (4 руб./кв.</w:t>
      </w:r>
      <w:r>
        <w:t>м.), Бижбулякский район (1 руб./кв.м.), Благовещенский район (от 2 до 16 руб./кв.м.), Гафурийский (от 3 до 32 руб./кв.м.), Ермекеевский район (2 руб./кв.м.), Иглинский район (17 руб./кв.м.), г.Сибай (2 руб./кв.м.).</w:t>
      </w:r>
    </w:p>
    <w:p w:rsidR="00E85D42" w:rsidRDefault="00E85D42">
      <w:pPr>
        <w:pStyle w:val="a6"/>
        <w:spacing w:line="276" w:lineRule="auto"/>
        <w:ind w:firstLine="709"/>
      </w:pPr>
    </w:p>
    <w:p w:rsidR="00E85D42" w:rsidRDefault="008113B9">
      <w:pPr>
        <w:pStyle w:val="a6"/>
        <w:spacing w:line="276" w:lineRule="auto"/>
        <w:ind w:firstLine="709"/>
      </w:pPr>
      <w:r>
        <w:t>В сельских населенных пунктах срок экспо</w:t>
      </w:r>
      <w:r>
        <w:t xml:space="preserve">зиции для объектов производственного назначения (в частности для сельскохозяйственного производства, большой площадью) может быть более 1 года. Соответственно стоимость будет снижаться и может достигнуть нижнего ценового предела. </w:t>
      </w:r>
    </w:p>
    <w:p w:rsidR="00E85D42" w:rsidRDefault="00E85D42">
      <w:pPr>
        <w:pStyle w:val="a6"/>
        <w:spacing w:line="276" w:lineRule="auto"/>
        <w:ind w:firstLine="709"/>
      </w:pPr>
    </w:p>
    <w:p w:rsidR="00E85D42" w:rsidRDefault="008113B9">
      <w:pPr>
        <w:pStyle w:val="a6"/>
        <w:spacing w:line="276" w:lineRule="auto"/>
        <w:ind w:firstLine="709"/>
      </w:pPr>
      <w:r>
        <w:t>В г. Уфа минимальная цен</w:t>
      </w:r>
      <w:r>
        <w:t>а предложения 23 р./кв.м. связано с тем, что объект аналог расположен в Северной промышленной зоне и имеет большую площадь (56 351 кв.м.)</w:t>
      </w:r>
    </w:p>
    <w:p w:rsidR="00E85D42" w:rsidRDefault="008113B9">
      <w:pPr>
        <w:pStyle w:val="a6"/>
        <w:spacing w:line="276" w:lineRule="auto"/>
        <w:ind w:firstLine="709"/>
      </w:pPr>
      <w:r>
        <w:t>Наименьшее количество предложений ЗУ промышленного назначения приходится на г. Уфа и составляет 24% (в среднем цена со</w:t>
      </w:r>
      <w:r>
        <w:t>ставляет 1 310 руб./ кв. м); города РБ – 34% (в среднем цена составляет 338 руб./ кв. м); районы РБ – 42% (в среднем цена составляет 135 руб./ кв. м.).</w:t>
      </w:r>
    </w:p>
    <w:p w:rsidR="00E85D42" w:rsidRDefault="008113B9">
      <w:pPr>
        <w:spacing w:line="276" w:lineRule="auto"/>
        <w:ind w:firstLine="567"/>
        <w:jc w:val="center"/>
        <w:rPr>
          <w:b/>
          <w:sz w:val="26"/>
          <w:szCs w:val="26"/>
        </w:rPr>
      </w:pPr>
      <w:r>
        <w:rPr>
          <w:b/>
          <w:sz w:val="26"/>
          <w:szCs w:val="26"/>
        </w:rPr>
        <w:t>Анализ рыночной информации по сегменту «Предпринимательство»</w:t>
      </w:r>
    </w:p>
    <w:p w:rsidR="00E85D42" w:rsidRDefault="008113B9">
      <w:pPr>
        <w:pStyle w:val="a6"/>
        <w:spacing w:line="276" w:lineRule="auto"/>
        <w:ind w:firstLine="709"/>
      </w:pPr>
      <w:r>
        <w:t xml:space="preserve">К сегменту «Предпринимательство» относятся </w:t>
      </w:r>
      <w:r>
        <w:t>разные виды предпринимательской деятельности, а именно: обеспечение сельскохозяйственного производства; размещение объектов обслуживания жилой застройки; объекты торговли; банковская и страховая деятельность; общественное питание; развлечения; объекты прид</w:t>
      </w:r>
      <w:r>
        <w:t>орожного сервиса; выставочно-ярморочная деятельность; спорт и др</w:t>
      </w:r>
      <w:r>
        <w:rPr>
          <w:vertAlign w:val="superscript"/>
        </w:rPr>
        <w:footnoteReference w:id="21"/>
      </w:r>
      <w:r>
        <w:t>.</w:t>
      </w:r>
    </w:p>
    <w:p w:rsidR="00E85D42" w:rsidRDefault="00E85D42">
      <w:pPr>
        <w:pStyle w:val="a6"/>
        <w:spacing w:line="276" w:lineRule="auto"/>
        <w:ind w:firstLine="709"/>
      </w:pPr>
    </w:p>
    <w:p w:rsidR="00E85D42" w:rsidRDefault="008113B9">
      <w:pPr>
        <w:jc w:val="center"/>
        <w:rPr>
          <w:spacing w:val="-5"/>
          <w:sz w:val="24"/>
          <w:szCs w:val="24"/>
          <w:lang w:eastAsia="en-US"/>
        </w:rPr>
      </w:pPr>
      <w:r>
        <w:rPr>
          <w:spacing w:val="-5"/>
          <w:sz w:val="24"/>
          <w:szCs w:val="24"/>
          <w:lang w:eastAsia="en-US"/>
        </w:rPr>
        <w:t xml:space="preserve">Информация о ценах предложений по земельным участкам торгового назначения в разбивке по муниципальным образованиям приведена в </w:t>
      </w:r>
      <w:r>
        <w:rPr>
          <w:spacing w:val="-5"/>
          <w:sz w:val="24"/>
          <w:szCs w:val="24"/>
          <w:lang w:eastAsia="en-US"/>
        </w:rPr>
        <w:t>таблице ниже.</w:t>
      </w:r>
    </w:p>
    <w:p w:rsidR="00E85D42" w:rsidRDefault="008113B9">
      <w:pPr>
        <w:pStyle w:val="ad"/>
        <w:keepNext/>
        <w:jc w:val="right"/>
        <w:rPr>
          <w:b w:val="0"/>
          <w:i w:val="0"/>
          <w:sz w:val="24"/>
          <w:szCs w:val="24"/>
        </w:rPr>
      </w:pPr>
      <w:r>
        <w:rPr>
          <w:b w:val="0"/>
          <w:i w:val="0"/>
          <w:sz w:val="24"/>
          <w:szCs w:val="24"/>
        </w:rPr>
        <w:t>Таблица 3.1.6.6</w:t>
      </w:r>
    </w:p>
    <w:tbl>
      <w:tblPr>
        <w:tblW w:w="5000" w:type="pct"/>
        <w:tblCellMar>
          <w:left w:w="10" w:type="dxa"/>
          <w:right w:w="10" w:type="dxa"/>
        </w:tblCellMar>
        <w:tblLook w:val="04A0" w:firstRow="1" w:lastRow="0" w:firstColumn="1" w:lastColumn="0" w:noHBand="0" w:noVBand="1"/>
      </w:tblPr>
      <w:tblGrid>
        <w:gridCol w:w="806"/>
        <w:gridCol w:w="2031"/>
        <w:gridCol w:w="1510"/>
        <w:gridCol w:w="1780"/>
        <w:gridCol w:w="1797"/>
        <w:gridCol w:w="1646"/>
      </w:tblGrid>
      <w:tr w:rsidR="00E85D42">
        <w:tblPrEx>
          <w:tblCellMar>
            <w:top w:w="0" w:type="dxa"/>
            <w:bottom w:w="0" w:type="dxa"/>
          </w:tblCellMar>
        </w:tblPrEx>
        <w:trPr>
          <w:trHeight w:val="20"/>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№п/п</w:t>
            </w:r>
          </w:p>
        </w:tc>
        <w:tc>
          <w:tcPr>
            <w:tcW w:w="203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Наименование муниципального образования</w:t>
            </w:r>
          </w:p>
        </w:tc>
        <w:tc>
          <w:tcPr>
            <w:tcW w:w="673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Наименование вида использования</w:t>
            </w:r>
          </w:p>
        </w:tc>
      </w:tr>
      <w:tr w:rsidR="00E85D42">
        <w:tblPrEx>
          <w:tblCellMar>
            <w:top w:w="0" w:type="dxa"/>
            <w:bottom w:w="0" w:type="dxa"/>
          </w:tblCellMar>
        </w:tblPrEx>
        <w:trPr>
          <w:trHeight w:val="20"/>
        </w:trPr>
        <w:tc>
          <w:tcPr>
            <w:tcW w:w="8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20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673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Предпринимательство</w:t>
            </w:r>
          </w:p>
        </w:tc>
      </w:tr>
      <w:tr w:rsidR="00E85D42">
        <w:tblPrEx>
          <w:tblCellMar>
            <w:top w:w="0" w:type="dxa"/>
            <w:bottom w:w="0" w:type="dxa"/>
          </w:tblCellMar>
        </w:tblPrEx>
        <w:trPr>
          <w:trHeight w:val="20"/>
        </w:trPr>
        <w:tc>
          <w:tcPr>
            <w:tcW w:w="8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20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Количество предложений, ед.</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Минимальная удельная цена предложения, руб./кв. м</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Максимальная удельная цена предложения, </w:t>
            </w:r>
            <w:r>
              <w:rPr>
                <w:color w:val="000000"/>
                <w:sz w:val="18"/>
                <w:szCs w:val="18"/>
              </w:rPr>
              <w:t>руб./кв. м</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Средняя удельная цена предложения, руб./кв. м </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20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Абзелиловский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438</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2255</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1190</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20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Альшеевский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683</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2000</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1219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Архангельский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174</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3899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2036</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Аскинский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614</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614</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614</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Баймакский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2255</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996</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Бакалинский </w:t>
            </w:r>
            <w:r>
              <w:rPr>
                <w:color w:val="000000"/>
                <w:sz w:val="18"/>
                <w:szCs w:val="18"/>
              </w:rPr>
              <w:t>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6 658</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6658</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6658</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Балтачевский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458</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1453</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941</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Белебеевский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87</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3657</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1872</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Белорецкий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1 779</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1779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1779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Бижбулякский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3 766</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3766</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3766</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Благоварский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63</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3719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1443</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Благовещенский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273</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1817</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1045</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Бураевский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222</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222</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222</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Бурзянский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610</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610</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610</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Гафурийский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225</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3708</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1713</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Давлекановский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190</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190</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190</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Дуванский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1 459</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10588</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5055</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Дюртюлинский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645</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2879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1645</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Зианчуринский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1 </w:t>
            </w:r>
            <w:r>
              <w:rPr>
                <w:color w:val="000000"/>
                <w:sz w:val="18"/>
                <w:szCs w:val="18"/>
              </w:rPr>
              <w:t>365</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1365</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1365</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Иглинский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99</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5273</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1665</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Илишевский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316</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3725</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1703</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Калтасинский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567</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567</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567</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30</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Караидельский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6 060</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6060</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6 060</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31</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Кармаскалинский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116</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4819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1296</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32</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Кигинский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793</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3516</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2154</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33</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Краснокамский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533</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3402</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1308</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Кугарчинский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4 512</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4698</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4605</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35</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Куюргазинский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3 214</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5927</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4571</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Кушнаренковский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82</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7895</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2409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Мечетлинский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592</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592</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592</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39</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Мишкинский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1 893</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6970</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3433</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40</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Миякинский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271</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271</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271</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41</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Нуримановский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30</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2475</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920</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Салаватский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4 388</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4388</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4388</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43</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Стерлибашевский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1 061</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1061</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1061</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44</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Стерлитамакский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454</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7175</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2229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45</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Татышлинский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1 070</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2456</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1763</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46</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Туймазинский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107</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3580</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1370</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47</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Уфимский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45</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8632</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2409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48</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Учалинский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425</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1005</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651</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49</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Федоровский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4 800</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4 800</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4 800</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50</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Хайбуллинский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2399</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5202</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4002</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Чекмагушевский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388</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388</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388</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52</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Чишминский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579</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7000</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2807</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53</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Шаранский район</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1036</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1036</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1036</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55</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Уфа</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365</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96429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9705</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Стерлитамак</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70C0"/>
                <w:sz w:val="18"/>
                <w:szCs w:val="18"/>
              </w:rPr>
            </w:pPr>
            <w:r>
              <w:rPr>
                <w:color w:val="0070C0"/>
                <w:sz w:val="18"/>
                <w:szCs w:val="18"/>
              </w:rPr>
              <w:t>20</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45</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36536</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6016</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Октябрьский</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823</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26016</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5323</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58</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Ишимбай</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212</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2580</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1474</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Салават</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340</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9373</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3901</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60</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Кумертау</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95</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10596</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3327</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61</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Сибай</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398</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11250</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4226</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г. </w:t>
            </w:r>
            <w:r>
              <w:rPr>
                <w:color w:val="000000"/>
                <w:sz w:val="18"/>
                <w:szCs w:val="18"/>
              </w:rPr>
              <w:t>Белорецк</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663</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6429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3145</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63</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Белебей</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1456</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15625</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5864</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64</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Бирск</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743</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8257</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3941</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65</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Туймазы</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837</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11598</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4311</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66</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Нефтекамск</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313</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11826</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5749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67</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Учалы</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751</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751</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751</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68</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Мелеуз</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156</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12926</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3428</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69</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Благовещенск</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653</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7292</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2949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70</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Дюртюли</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77</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7579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2827</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71</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Давлеканово</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455</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8882</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4849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72</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Янаул</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278</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8527</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2160</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73</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Баймак</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899</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899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899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74</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Агидель</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1011</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3344</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2178</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75</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Межгорье</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1779</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1779</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1779</w:t>
            </w:r>
          </w:p>
        </w:tc>
      </w:tr>
      <w:tr w:rsidR="00E85D42">
        <w:tblPrEx>
          <w:tblCellMar>
            <w:top w:w="0" w:type="dxa"/>
            <w:bottom w:w="0" w:type="dxa"/>
          </w:tblCellMar>
        </w:tblPrEx>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ИТОГО</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383</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rFonts w:ascii="Calibri" w:hAnsi="Calibri"/>
                <w:color w:val="000000"/>
                <w:sz w:val="18"/>
                <w:szCs w:val="18"/>
              </w:rPr>
            </w:pPr>
            <w:r>
              <w:rPr>
                <w:rFonts w:ascii="Calibri" w:hAnsi="Calibri"/>
                <w:color w:val="000000"/>
                <w:sz w:val="18"/>
                <w:szCs w:val="18"/>
              </w:rPr>
              <w:t> </w:t>
            </w:r>
          </w:p>
        </w:tc>
        <w:tc>
          <w:tcPr>
            <w:tcW w:w="17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rFonts w:ascii="Calibri" w:hAnsi="Calibri"/>
                <w:color w:val="000000"/>
                <w:sz w:val="18"/>
                <w:szCs w:val="18"/>
              </w:rPr>
            </w:pPr>
            <w:r>
              <w:rPr>
                <w:rFonts w:ascii="Calibri" w:hAnsi="Calibri"/>
                <w:color w:val="000000"/>
                <w:sz w:val="18"/>
                <w:szCs w:val="18"/>
              </w:rPr>
              <w:t>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rFonts w:ascii="Calibri" w:hAnsi="Calibri"/>
                <w:color w:val="000000"/>
                <w:sz w:val="18"/>
                <w:szCs w:val="18"/>
              </w:rPr>
            </w:pPr>
            <w:r>
              <w:rPr>
                <w:rFonts w:ascii="Calibri" w:hAnsi="Calibri"/>
                <w:color w:val="000000"/>
                <w:sz w:val="18"/>
                <w:szCs w:val="18"/>
              </w:rPr>
              <w:t> </w:t>
            </w:r>
          </w:p>
        </w:tc>
      </w:tr>
    </w:tbl>
    <w:p w:rsidR="00E85D42" w:rsidRDefault="00E85D42">
      <w:pPr>
        <w:jc w:val="both"/>
        <w:rPr>
          <w:spacing w:val="-5"/>
          <w:sz w:val="24"/>
          <w:szCs w:val="24"/>
          <w:lang w:eastAsia="en-US"/>
        </w:rPr>
      </w:pPr>
    </w:p>
    <w:p w:rsidR="00E85D42" w:rsidRDefault="008113B9">
      <w:pPr>
        <w:pStyle w:val="a6"/>
        <w:spacing w:line="276" w:lineRule="auto"/>
        <w:ind w:firstLine="709"/>
      </w:pPr>
      <w:r>
        <w:t xml:space="preserve">Как видно из Таблицы № 3.1.6.8 существует </w:t>
      </w:r>
      <w:r>
        <w:t>значительное различие между минимальными ценами предложения стоимости земельных участков в сопоставимых муниципальных районах, городах РБ (не входят в диапазон рыночных цен по данным районам и городам), в частности в Баймакском районе (3 руб./кв.м.), это о</w:t>
      </w:r>
      <w:r>
        <w:t>бусловлено тем, что объект продан на торгах.</w:t>
      </w:r>
    </w:p>
    <w:p w:rsidR="00E85D42" w:rsidRDefault="008113B9">
      <w:pPr>
        <w:pStyle w:val="a6"/>
        <w:spacing w:line="276" w:lineRule="auto"/>
        <w:ind w:firstLine="709"/>
      </w:pPr>
      <w:r>
        <w:t>Наибольшее количество предложений ЗУ торгового назначения приходится на г. Уфа и составляет 25% (в среднем цена составляет 9705 руб./ кв. м); города РБ – 37% (в среднем цена составляет 4 453 руб./ кв. м); районы</w:t>
      </w:r>
      <w:r>
        <w:t xml:space="preserve"> РБ – 38% (в среднем цена составляет 2 003 руб./ кв. м).</w:t>
      </w:r>
    </w:p>
    <w:p w:rsidR="00E85D42" w:rsidRDefault="00E85D42">
      <w:pPr>
        <w:pStyle w:val="a6"/>
        <w:spacing w:line="276" w:lineRule="auto"/>
        <w:ind w:firstLine="709"/>
      </w:pPr>
    </w:p>
    <w:p w:rsidR="00E85D42" w:rsidRDefault="008113B9">
      <w:pPr>
        <w:spacing w:line="276" w:lineRule="auto"/>
        <w:ind w:firstLine="567"/>
        <w:jc w:val="center"/>
        <w:rPr>
          <w:b/>
          <w:sz w:val="26"/>
          <w:szCs w:val="26"/>
        </w:rPr>
      </w:pPr>
      <w:r>
        <w:rPr>
          <w:b/>
          <w:sz w:val="26"/>
          <w:szCs w:val="26"/>
        </w:rPr>
        <w:t>Анализ рыночной информации по сегменту «Общественное использование»</w:t>
      </w:r>
    </w:p>
    <w:p w:rsidR="00E85D42" w:rsidRDefault="008113B9">
      <w:pPr>
        <w:pStyle w:val="a6"/>
        <w:spacing w:line="276" w:lineRule="auto"/>
        <w:ind w:firstLine="709"/>
      </w:pPr>
      <w:r>
        <w:t>К сегменту «Общественное использование» относятся разные виды общественной деятельности, а именно: научное обеспечение сельского х</w:t>
      </w:r>
      <w:r>
        <w:t>озяйства; коммунальное обслуживание; социальное обслуживание; бытовое обслуживание; здравоохранение; образование и просвещение; культурное развитие; религиозное использование; общественное управление; обеспечение научной деятельности и др</w:t>
      </w:r>
      <w:r>
        <w:rPr>
          <w:vertAlign w:val="superscript"/>
        </w:rPr>
        <w:footnoteReference w:id="22"/>
      </w:r>
      <w:r>
        <w:rPr>
          <w:vertAlign w:val="superscript"/>
        </w:rPr>
        <w:t>.</w:t>
      </w:r>
    </w:p>
    <w:p w:rsidR="00E85D42" w:rsidRDefault="00E85D42">
      <w:pPr>
        <w:pStyle w:val="a6"/>
        <w:spacing w:line="276" w:lineRule="auto"/>
        <w:ind w:firstLine="709"/>
      </w:pPr>
    </w:p>
    <w:p w:rsidR="00E85D42" w:rsidRDefault="008113B9">
      <w:pPr>
        <w:jc w:val="center"/>
        <w:rPr>
          <w:sz w:val="24"/>
          <w:szCs w:val="24"/>
        </w:rPr>
      </w:pPr>
      <w:r>
        <w:rPr>
          <w:sz w:val="24"/>
          <w:szCs w:val="24"/>
        </w:rPr>
        <w:t>Информация о ценах предложений по земельным участкам общественного назначения в разбивке по муниципальным образованиям приведена в таблице ниже.</w:t>
      </w:r>
    </w:p>
    <w:p w:rsidR="00E85D42" w:rsidRDefault="008113B9">
      <w:pPr>
        <w:pStyle w:val="ad"/>
        <w:keepNext/>
        <w:jc w:val="right"/>
        <w:rPr>
          <w:b w:val="0"/>
          <w:i w:val="0"/>
          <w:sz w:val="24"/>
          <w:szCs w:val="24"/>
        </w:rPr>
      </w:pPr>
      <w:r>
        <w:rPr>
          <w:b w:val="0"/>
          <w:i w:val="0"/>
          <w:sz w:val="24"/>
          <w:szCs w:val="24"/>
        </w:rPr>
        <w:t>Таблица 3.1.6.7</w:t>
      </w:r>
    </w:p>
    <w:tbl>
      <w:tblPr>
        <w:tblW w:w="5000" w:type="pct"/>
        <w:tblCellMar>
          <w:left w:w="10" w:type="dxa"/>
          <w:right w:w="10" w:type="dxa"/>
        </w:tblCellMar>
        <w:tblLook w:val="04A0" w:firstRow="1" w:lastRow="0" w:firstColumn="1" w:lastColumn="0" w:noHBand="0" w:noVBand="1"/>
      </w:tblPr>
      <w:tblGrid>
        <w:gridCol w:w="881"/>
        <w:gridCol w:w="2219"/>
        <w:gridCol w:w="1594"/>
        <w:gridCol w:w="1594"/>
        <w:gridCol w:w="1594"/>
        <w:gridCol w:w="1688"/>
      </w:tblGrid>
      <w:tr w:rsidR="00E85D42">
        <w:tblPrEx>
          <w:tblCellMar>
            <w:top w:w="0" w:type="dxa"/>
            <w:bottom w:w="0" w:type="dxa"/>
          </w:tblCellMar>
        </w:tblPrEx>
        <w:trPr>
          <w:trHeight w:val="20"/>
        </w:trPr>
        <w:tc>
          <w:tcPr>
            <w:tcW w:w="8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№п/п</w:t>
            </w:r>
          </w:p>
        </w:tc>
        <w:tc>
          <w:tcPr>
            <w:tcW w:w="22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Наименование муниципального образования</w:t>
            </w:r>
          </w:p>
        </w:tc>
        <w:tc>
          <w:tcPr>
            <w:tcW w:w="647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Наименование вида использования</w:t>
            </w:r>
          </w:p>
        </w:tc>
      </w:tr>
      <w:tr w:rsidR="00E85D42">
        <w:tblPrEx>
          <w:tblCellMar>
            <w:top w:w="0" w:type="dxa"/>
            <w:bottom w:w="0" w:type="dxa"/>
          </w:tblCellMar>
        </w:tblPrEx>
        <w:trPr>
          <w:trHeight w:val="20"/>
        </w:trPr>
        <w:tc>
          <w:tcPr>
            <w:tcW w:w="8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22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647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Общественное использование</w:t>
            </w:r>
          </w:p>
        </w:tc>
      </w:tr>
      <w:tr w:rsidR="00E85D42">
        <w:tblPrEx>
          <w:tblCellMar>
            <w:top w:w="0" w:type="dxa"/>
            <w:bottom w:w="0" w:type="dxa"/>
          </w:tblCellMar>
        </w:tblPrEx>
        <w:trPr>
          <w:trHeight w:val="20"/>
        </w:trPr>
        <w:tc>
          <w:tcPr>
            <w:tcW w:w="8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22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color w:val="000000"/>
                <w:sz w:val="18"/>
                <w:szCs w:val="18"/>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Количество предложений, ед.</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Минимальная удельная цена предложения, руб./кв. м</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Максимальная удельная цена предложения, руб./кв. м</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Средняя удельная цена предложения, руб./кв. м </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Альшеевский </w:t>
            </w:r>
            <w:r>
              <w:rPr>
                <w:color w:val="000000"/>
                <w:sz w:val="18"/>
                <w:szCs w:val="18"/>
              </w:rPr>
              <w:t>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926</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926</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926</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Аскинский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809</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809</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809</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Белокатайский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763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763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763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Белорецкий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Благоварский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162</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321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221</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Буздякский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22</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Дюртюлинский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1013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1013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1013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24</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Зианчуринский </w:t>
            </w:r>
            <w:r>
              <w:rPr>
                <w:color w:val="000000"/>
                <w:sz w:val="18"/>
                <w:szCs w:val="18"/>
              </w:rPr>
              <w:t>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1256</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1256</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1256</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28</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Ишимбайский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29</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Калтасинский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513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30</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Караидельский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54</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54</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33</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Краснокамский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59</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2672</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1366</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Кушнаренковский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503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503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503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38</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Мечетлинский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609</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609</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609</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40</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Миякинский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26</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1677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635</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41</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Нуримановский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276</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867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571</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44</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Стерлитамакский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1540</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1540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1540</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52</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Чишминский район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474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3738</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2106</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55</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Уфа</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52</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284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36765</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11010</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Стерлитамак</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307</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25123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5775</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Октябрьский</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1029</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11272</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5747</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58</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Ишимбай</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146</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739</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473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60</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Кумертау</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253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1335</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sz w:val="18"/>
                <w:szCs w:val="18"/>
              </w:rPr>
            </w:pPr>
            <w:r>
              <w:rPr>
                <w:sz w:val="18"/>
                <w:szCs w:val="18"/>
              </w:rPr>
              <w:t>632</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62</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Белорецк</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372</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372</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372</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63</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Белебей</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367</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23004</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7948</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66</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Нефтекамск</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366</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4217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1943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67</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Учалы</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912</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912</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912</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69</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Благовещенск</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2132</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2132</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2132</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71</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Давлеканово</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563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73</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 xml:space="preserve">г. </w:t>
            </w:r>
            <w:r>
              <w:rPr>
                <w:color w:val="000000"/>
                <w:sz w:val="18"/>
                <w:szCs w:val="18"/>
              </w:rPr>
              <w:t>Баймак</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1434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1434</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1434</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74</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г. Агидель</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483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483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483</w:t>
            </w:r>
          </w:p>
        </w:tc>
      </w:tr>
      <w:tr w:rsidR="00E85D42">
        <w:tblPrEx>
          <w:tblCellMar>
            <w:top w:w="0" w:type="dxa"/>
            <w:bottom w:w="0" w:type="dxa"/>
          </w:tblCellMar>
        </w:tblPrEx>
        <w:trPr>
          <w:trHeight w:val="20"/>
        </w:trPr>
        <w:tc>
          <w:tcPr>
            <w:tcW w:w="8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 </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ИТОГО</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106</w:t>
            </w:r>
          </w:p>
        </w:tc>
        <w:tc>
          <w:tcPr>
            <w:tcW w:w="15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rFonts w:ascii="Calibri" w:hAnsi="Calibri"/>
                <w:color w:val="000000"/>
                <w:sz w:val="18"/>
                <w:szCs w:val="18"/>
              </w:rPr>
            </w:pPr>
            <w:r>
              <w:rPr>
                <w:rFonts w:ascii="Calibri" w:hAnsi="Calibri"/>
                <w:color w:val="000000"/>
                <w:sz w:val="18"/>
                <w:szCs w:val="18"/>
              </w:rPr>
              <w:t> </w:t>
            </w:r>
          </w:p>
        </w:tc>
        <w:tc>
          <w:tcPr>
            <w:tcW w:w="15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rFonts w:ascii="Calibri" w:hAnsi="Calibri"/>
                <w:color w:val="000000"/>
                <w:sz w:val="18"/>
                <w:szCs w:val="18"/>
              </w:rPr>
            </w:pPr>
            <w:r>
              <w:rPr>
                <w:rFonts w:ascii="Calibri" w:hAnsi="Calibri"/>
                <w:color w:val="000000"/>
                <w:sz w:val="18"/>
                <w:szCs w:val="18"/>
              </w:rPr>
              <w:t> </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rFonts w:ascii="Calibri" w:hAnsi="Calibri"/>
                <w:color w:val="000000"/>
                <w:sz w:val="18"/>
                <w:szCs w:val="18"/>
              </w:rPr>
            </w:pPr>
            <w:r>
              <w:rPr>
                <w:rFonts w:ascii="Calibri" w:hAnsi="Calibri"/>
                <w:color w:val="000000"/>
                <w:sz w:val="18"/>
                <w:szCs w:val="18"/>
              </w:rPr>
              <w:t> </w:t>
            </w:r>
          </w:p>
        </w:tc>
      </w:tr>
    </w:tbl>
    <w:p w:rsidR="00E85D42" w:rsidRDefault="00E85D42">
      <w:pPr>
        <w:jc w:val="both"/>
        <w:rPr>
          <w:i/>
          <w:spacing w:val="-5"/>
          <w:lang w:eastAsia="en-US"/>
        </w:rPr>
      </w:pPr>
    </w:p>
    <w:p w:rsidR="00E85D42" w:rsidRDefault="008113B9">
      <w:pPr>
        <w:pStyle w:val="a6"/>
        <w:spacing w:line="276" w:lineRule="auto"/>
        <w:ind w:firstLine="709"/>
      </w:pPr>
      <w:r>
        <w:t xml:space="preserve">Наибольшее количество предложений ЗУ общественного назначения приходится на г. Уфа и составляет 49% (в среднем цена составляет 11 010 руб./ кв. м.); города РБ – 27% (в среднем цена </w:t>
      </w:r>
      <w:r>
        <w:t>составляет 2 368 руб./ кв.м.); районы РБ – 24% (в среднем цена составляет 766 руб./ кв. м.).</w:t>
      </w:r>
    </w:p>
    <w:p w:rsidR="00E85D42" w:rsidRDefault="008113B9">
      <w:pPr>
        <w:pStyle w:val="a6"/>
        <w:spacing w:line="276" w:lineRule="auto"/>
        <w:ind w:firstLine="709"/>
      </w:pPr>
      <w:r>
        <w:t>В Краснокамском районе минимальная цена предложения 59 р./кв.м. связано с тем, что объект аналог расположен в Северной промышленной зоне и имеет большую площадь зе</w:t>
      </w:r>
      <w:r>
        <w:t>мельного участка (15 224 кв.м.).</w:t>
      </w:r>
    </w:p>
    <w:p w:rsidR="00E85D42" w:rsidRDefault="008113B9">
      <w:pPr>
        <w:ind w:firstLine="708"/>
        <w:jc w:val="both"/>
      </w:pPr>
      <w:r>
        <w:rPr>
          <w:sz w:val="24"/>
        </w:rPr>
        <w:t>В процессе анализа и обработки данных о предложениях к продаже объектов недвижимости в исследуемых сегментах рынка, также были сделаны выводы о «сроках экспозиции» таких объектов недвижимости. Для этого, в частности, исполь</w:t>
      </w:r>
      <w:r>
        <w:rPr>
          <w:sz w:val="24"/>
        </w:rPr>
        <w:t xml:space="preserve">зована «статистика просмотров» портала </w:t>
      </w:r>
      <w:r>
        <w:rPr>
          <w:sz w:val="24"/>
          <w:lang w:val="en-US"/>
        </w:rPr>
        <w:t>avito</w:t>
      </w:r>
      <w:r>
        <w:rPr>
          <w:sz w:val="24"/>
        </w:rPr>
        <w:t>.</w:t>
      </w:r>
      <w:r>
        <w:rPr>
          <w:sz w:val="24"/>
          <w:lang w:val="en-US"/>
        </w:rPr>
        <w:t>ru</w:t>
      </w:r>
      <w:r>
        <w:rPr>
          <w:sz w:val="24"/>
        </w:rPr>
        <w:t xml:space="preserve">, в которой чаще всего отображена «исходная» дата подачи объявления. Кроме того, проанализированы открытые источники, посвященные анализу рынков коммерческой недвижимости. Исходя из проанализированных данных, </w:t>
      </w:r>
      <w:r>
        <w:rPr>
          <w:sz w:val="24"/>
        </w:rPr>
        <w:t>можно сделать вывод, что срок экспозиции для активного рынка составляет в среднем до 1 года, для неактивного - 2 года.</w:t>
      </w:r>
    </w:p>
    <w:p w:rsidR="00E85D42" w:rsidRDefault="00E85D42">
      <w:pPr>
        <w:ind w:firstLine="709"/>
        <w:jc w:val="both"/>
        <w:rPr>
          <w:sz w:val="28"/>
          <w:szCs w:val="28"/>
        </w:rPr>
      </w:pPr>
    </w:p>
    <w:p w:rsidR="00E85D42" w:rsidRDefault="008113B9">
      <w:pPr>
        <w:ind w:firstLine="709"/>
        <w:jc w:val="both"/>
        <w:rPr>
          <w:sz w:val="24"/>
          <w:szCs w:val="24"/>
        </w:rPr>
      </w:pPr>
      <w:r>
        <w:rPr>
          <w:sz w:val="24"/>
          <w:szCs w:val="24"/>
        </w:rPr>
        <w:t>В целом, ситуация на рынке недвижимости в РБ характеризуется низким уровнем развития; рынок представлен ограниченным объемом предложения</w:t>
      </w:r>
      <w:r>
        <w:rPr>
          <w:sz w:val="24"/>
          <w:szCs w:val="24"/>
        </w:rPr>
        <w:t>, в ряде муниципальных образований предложения отсутствуют.</w:t>
      </w:r>
    </w:p>
    <w:p w:rsidR="00E85D42" w:rsidRDefault="008113B9">
      <w:pPr>
        <w:ind w:firstLine="709"/>
        <w:jc w:val="both"/>
        <w:rPr>
          <w:sz w:val="24"/>
          <w:szCs w:val="24"/>
        </w:rPr>
      </w:pPr>
      <w:r>
        <w:rPr>
          <w:sz w:val="24"/>
          <w:szCs w:val="24"/>
        </w:rPr>
        <w:t>Достоверно установить уровень спроса на земельные участки не представляется возможным ввиду специфики рынка недвижимости, состоящей в том, что потенциальный покупатель чаще всего не выступает с от</w:t>
      </w:r>
      <w:r>
        <w:rPr>
          <w:sz w:val="24"/>
          <w:szCs w:val="24"/>
        </w:rPr>
        <w:t xml:space="preserve">крытым предложением о покупке земельного участка во избежание негативных последствий криминального характера, а осуществляет поиск земельного участка с интересующими его характеристиками, исходя из имеющихся предложений. </w:t>
      </w:r>
    </w:p>
    <w:p w:rsidR="00E85D42" w:rsidRDefault="00E85D42">
      <w:pPr>
        <w:rPr>
          <w:b/>
          <w:sz w:val="24"/>
        </w:rPr>
      </w:pPr>
    </w:p>
    <w:p w:rsidR="00E85D42" w:rsidRDefault="00E85D42"/>
    <w:p w:rsidR="00E85D42" w:rsidRDefault="008113B9">
      <w:pPr>
        <w:keepNext/>
        <w:tabs>
          <w:tab w:val="left" w:pos="851"/>
        </w:tabs>
        <w:ind w:left="864"/>
        <w:jc w:val="center"/>
        <w:outlineLvl w:val="3"/>
        <w:rPr>
          <w:b/>
          <w:iCs/>
          <w:sz w:val="24"/>
        </w:rPr>
      </w:pPr>
      <w:bookmarkStart w:id="122" w:name="_Toc11934890"/>
      <w:r>
        <w:rPr>
          <w:b/>
          <w:iCs/>
          <w:sz w:val="24"/>
        </w:rPr>
        <w:t xml:space="preserve">3.1.7. </w:t>
      </w:r>
      <w:bookmarkStart w:id="123" w:name="OLE_LINK17"/>
      <w:r>
        <w:rPr>
          <w:b/>
          <w:iCs/>
          <w:sz w:val="24"/>
        </w:rPr>
        <w:t>Информация об определении</w:t>
      </w:r>
      <w:r>
        <w:rPr>
          <w:b/>
          <w:iCs/>
          <w:sz w:val="24"/>
        </w:rPr>
        <w:t xml:space="preserve"> ценообразующих факторов и источниках сведений о них, обоснование моделей оценки кадастровой стоимости</w:t>
      </w:r>
      <w:bookmarkEnd w:id="123"/>
      <w:r>
        <w:rPr>
          <w:b/>
          <w:iCs/>
          <w:sz w:val="24"/>
        </w:rPr>
        <w:t>.</w:t>
      </w:r>
      <w:bookmarkEnd w:id="122"/>
      <w:r>
        <w:rPr>
          <w:b/>
          <w:iCs/>
          <w:sz w:val="24"/>
        </w:rPr>
        <w:t xml:space="preserve"> </w:t>
      </w:r>
    </w:p>
    <w:p w:rsidR="00E85D42" w:rsidRDefault="008113B9">
      <w:pPr>
        <w:autoSpaceDE w:val="0"/>
        <w:ind w:firstLine="567"/>
        <w:rPr>
          <w:sz w:val="24"/>
        </w:rPr>
      </w:pPr>
      <w:r>
        <w:rPr>
          <w:sz w:val="24"/>
        </w:rPr>
        <w:t>Далее приведена информация об определении ценообразующих факторах.</w:t>
      </w:r>
    </w:p>
    <w:p w:rsidR="00E85D42" w:rsidRDefault="00E85D42">
      <w:pPr>
        <w:pageBreakBefore/>
        <w:spacing w:after="200" w:line="276" w:lineRule="auto"/>
        <w:rPr>
          <w:sz w:val="24"/>
        </w:rPr>
        <w:sectPr w:rsidR="00E85D42">
          <w:headerReference w:type="default" r:id="rId305"/>
          <w:footerReference w:type="default" r:id="rId306"/>
          <w:headerReference w:type="first" r:id="rId307"/>
          <w:footerReference w:type="first" r:id="rId308"/>
          <w:pgSz w:w="11906" w:h="16838"/>
          <w:pgMar w:top="1134" w:right="851" w:bottom="1134" w:left="1701" w:header="709" w:footer="709" w:gutter="0"/>
          <w:pgBorders w:offsetFrom="page">
            <w:top w:val="single" w:sz="18" w:space="24" w:color="000000"/>
            <w:left w:val="single" w:sz="18" w:space="24" w:color="000000"/>
            <w:bottom w:val="single" w:sz="18" w:space="24" w:color="000000"/>
            <w:right w:val="single" w:sz="18" w:space="24" w:color="000000"/>
          </w:pgBorders>
          <w:cols w:space="720"/>
          <w:titlePg/>
        </w:sectPr>
      </w:pPr>
    </w:p>
    <w:p w:rsidR="00E85D42" w:rsidRDefault="008113B9">
      <w:pPr>
        <w:pStyle w:val="ad"/>
        <w:keepNext/>
        <w:spacing w:before="0"/>
        <w:rPr>
          <w:bCs w:val="0"/>
          <w:i w:val="0"/>
          <w:sz w:val="24"/>
          <w:szCs w:val="20"/>
        </w:rPr>
      </w:pPr>
      <w:r>
        <w:rPr>
          <w:bCs w:val="0"/>
          <w:i w:val="0"/>
          <w:sz w:val="24"/>
          <w:szCs w:val="20"/>
        </w:rPr>
        <w:t>Информация об определении ценообразующих факторов и источниках сведений о них,</w:t>
      </w:r>
    </w:p>
    <w:p w:rsidR="00E85D42" w:rsidRDefault="008113B9">
      <w:pPr>
        <w:pStyle w:val="ad"/>
        <w:keepNext/>
        <w:spacing w:before="0"/>
        <w:jc w:val="right"/>
      </w:pPr>
      <w:r>
        <w:rPr>
          <w:bCs w:val="0"/>
          <w:i w:val="0"/>
          <w:sz w:val="24"/>
          <w:szCs w:val="20"/>
        </w:rPr>
        <w:t>обос</w:t>
      </w:r>
      <w:r>
        <w:rPr>
          <w:bCs w:val="0"/>
          <w:i w:val="0"/>
          <w:sz w:val="24"/>
          <w:szCs w:val="20"/>
        </w:rPr>
        <w:t xml:space="preserve">нование моделей оценки кадастровой стоимости                                           </w:t>
      </w:r>
      <w:r>
        <w:rPr>
          <w:b w:val="0"/>
          <w:i w:val="0"/>
          <w:sz w:val="24"/>
          <w:szCs w:val="24"/>
        </w:rPr>
        <w:t>Таблица 3.1.7.1</w:t>
      </w:r>
    </w:p>
    <w:p w:rsidR="00E85D42" w:rsidRDefault="00E85D42"/>
    <w:tbl>
      <w:tblPr>
        <w:tblW w:w="5000" w:type="pct"/>
        <w:tblCellMar>
          <w:left w:w="10" w:type="dxa"/>
          <w:right w:w="10" w:type="dxa"/>
        </w:tblCellMar>
        <w:tblLook w:val="04A0" w:firstRow="1" w:lastRow="0" w:firstColumn="1" w:lastColumn="0" w:noHBand="0" w:noVBand="1"/>
      </w:tblPr>
      <w:tblGrid>
        <w:gridCol w:w="6526"/>
        <w:gridCol w:w="2635"/>
        <w:gridCol w:w="2204"/>
        <w:gridCol w:w="3421"/>
      </w:tblGrid>
      <w:tr w:rsidR="00E85D42">
        <w:tblPrEx>
          <w:tblCellMar>
            <w:top w:w="0" w:type="dxa"/>
            <w:bottom w:w="0" w:type="dxa"/>
          </w:tblCellMar>
        </w:tblPrEx>
        <w:trPr>
          <w:trHeight w:val="525"/>
          <w:tblHeader/>
        </w:trPr>
        <w:tc>
          <w:tcPr>
            <w:tcW w:w="65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Наименование ценообразующего фактора, (ед.изм.)</w:t>
            </w:r>
          </w:p>
        </w:tc>
        <w:tc>
          <w:tcPr>
            <w:tcW w:w="2635"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Комментарий</w:t>
            </w:r>
          </w:p>
        </w:tc>
        <w:tc>
          <w:tcPr>
            <w:tcW w:w="2204"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Источники сведений о факторах стоимости</w:t>
            </w:r>
          </w:p>
        </w:tc>
        <w:tc>
          <w:tcPr>
            <w:tcW w:w="342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Обоснование использования/отказа</w:t>
            </w:r>
          </w:p>
        </w:tc>
      </w:tr>
      <w:tr w:rsidR="00E85D42">
        <w:tblPrEx>
          <w:tblCellMar>
            <w:top w:w="0" w:type="dxa"/>
            <w:bottom w:w="0" w:type="dxa"/>
          </w:tblCellMar>
        </w:tblPrEx>
        <w:trPr>
          <w:trHeight w:val="765"/>
        </w:trPr>
        <w:tc>
          <w:tcPr>
            <w:tcW w:w="14786"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pPr>
            <w:r>
              <w:t xml:space="preserve">Ценообразующие </w:t>
            </w:r>
            <w:r>
              <w:t>факторы, предусмотренные методическими указаниями о государственной кадастровой оценке, утвержденными приказом Минэкономразвития России от 12 мая 2017 г. N 226 "Об утверждении методических указаний о государственной кадастровой оценке"</w:t>
            </w:r>
          </w:p>
        </w:tc>
      </w:tr>
      <w:tr w:rsidR="00E85D42">
        <w:tblPrEx>
          <w:tblCellMar>
            <w:top w:w="0" w:type="dxa"/>
            <w:bottom w:w="0" w:type="dxa"/>
          </w:tblCellMar>
        </w:tblPrEx>
        <w:trPr>
          <w:trHeight w:val="527"/>
        </w:trPr>
        <w:tc>
          <w:tcPr>
            <w:tcW w:w="14786" w:type="dxa"/>
            <w:gridSpan w:val="4"/>
            <w:tcBorders>
              <w:top w:val="single" w:sz="8" w:space="0" w:color="000000"/>
              <w:left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b/>
                <w:bCs/>
              </w:rPr>
            </w:pPr>
            <w:r>
              <w:rPr>
                <w:b/>
                <w:bCs/>
              </w:rPr>
              <w:t>Земельные участки</w:t>
            </w:r>
          </w:p>
        </w:tc>
      </w:tr>
      <w:tr w:rsidR="00E85D42">
        <w:tblPrEx>
          <w:tblCellMar>
            <w:top w:w="0" w:type="dxa"/>
            <w:bottom w:w="0" w:type="dxa"/>
          </w:tblCellMar>
        </w:tblPrEx>
        <w:trPr>
          <w:trHeight w:val="765"/>
        </w:trPr>
        <w:tc>
          <w:tcPr>
            <w:tcW w:w="65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b/>
                <w:bCs/>
                <w:color w:val="000000"/>
              </w:rPr>
            </w:pPr>
            <w:r>
              <w:rPr>
                <w:b/>
                <w:bCs/>
                <w:color w:val="000000"/>
              </w:rPr>
              <w:t>Общие сведения</w:t>
            </w:r>
          </w:p>
        </w:tc>
        <w:tc>
          <w:tcPr>
            <w:tcW w:w="2635"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 </w:t>
            </w:r>
          </w:p>
        </w:tc>
        <w:tc>
          <w:tcPr>
            <w:tcW w:w="2204"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 </w:t>
            </w:r>
          </w:p>
        </w:tc>
        <w:tc>
          <w:tcPr>
            <w:tcW w:w="342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 </w:t>
            </w:r>
          </w:p>
        </w:tc>
      </w:tr>
      <w:tr w:rsidR="00E85D42">
        <w:tblPrEx>
          <w:tblCellMar>
            <w:top w:w="0" w:type="dxa"/>
            <w:bottom w:w="0" w:type="dxa"/>
          </w:tblCellMar>
        </w:tblPrEx>
        <w:trPr>
          <w:trHeight w:val="31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Категория земель (при наличии ее влияния), вид разрешенного использования</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ЕГРН</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группировки объектов оценки, определения кадастровой стоимости в рамках массового расчета.</w:t>
            </w: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Площадь земельного участка (кв.м.)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ЕГРН</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расчета</w:t>
            </w:r>
          </w:p>
        </w:tc>
      </w:tr>
      <w:tr w:rsidR="00E85D42">
        <w:tblPrEx>
          <w:tblCellMar>
            <w:top w:w="0" w:type="dxa"/>
            <w:bottom w:w="0" w:type="dxa"/>
          </w:tblCellMar>
        </w:tblPrEx>
        <w:trPr>
          <w:trHeight w:val="31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Фактическое использование</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ЕГРН</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группировки объектов оценки</w:t>
            </w:r>
          </w:p>
        </w:tc>
      </w:tr>
      <w:tr w:rsidR="00E85D42">
        <w:tblPrEx>
          <w:tblCellMar>
            <w:top w:w="0" w:type="dxa"/>
            <w:bottom w:w="0" w:type="dxa"/>
          </w:tblCellMar>
        </w:tblPrEx>
        <w:trPr>
          <w:trHeight w:val="300"/>
        </w:trPr>
        <w:tc>
          <w:tcPr>
            <w:tcW w:w="6526"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Коэффициент протяженности земельного участка по данным геоинформационных </w:t>
            </w:r>
            <w:r>
              <w:rPr>
                <w:color w:val="000000"/>
              </w:rPr>
              <w:t>систем (ГИС), (пог.м)</w:t>
            </w:r>
          </w:p>
        </w:tc>
        <w:tc>
          <w:tcPr>
            <w:tcW w:w="2635" w:type="dxa"/>
            <w:tcBorders>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Величина</w:t>
            </w:r>
          </w:p>
        </w:tc>
        <w:tc>
          <w:tcPr>
            <w:tcW w:w="2204"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Определено средствами ГИС «MapInfo»</w:t>
            </w:r>
          </w:p>
        </w:tc>
        <w:tc>
          <w:tcPr>
            <w:tcW w:w="3421"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группировки объектов оценки</w:t>
            </w:r>
          </w:p>
        </w:tc>
      </w:tr>
      <w:tr w:rsidR="00E85D42">
        <w:tblPrEx>
          <w:tblCellMar>
            <w:top w:w="0" w:type="dxa"/>
            <w:bottom w:w="0" w:type="dxa"/>
          </w:tblCellMar>
        </w:tblPrEx>
        <w:trPr>
          <w:trHeight w:val="1005"/>
        </w:trPr>
        <w:tc>
          <w:tcPr>
            <w:tcW w:w="6526"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2635" w:type="dxa"/>
            <w:shd w:val="clear" w:color="auto" w:fill="auto"/>
            <w:noWrap/>
            <w:tcMar>
              <w:top w:w="0" w:type="dxa"/>
              <w:left w:w="108" w:type="dxa"/>
              <w:bottom w:w="0" w:type="dxa"/>
              <w:right w:w="108" w:type="dxa"/>
            </w:tcMar>
            <w:vAlign w:val="bottom"/>
          </w:tcPr>
          <w:p w:rsidR="00E85D42" w:rsidRDefault="008113B9">
            <w:r>
              <w:rPr>
                <w:noProof/>
                <w:color w:val="000000"/>
              </w:rPr>
              <w:drawing>
                <wp:anchor distT="0" distB="0" distL="114300" distR="114300" simplePos="0" relativeHeight="251666432" behindDoc="0" locked="0" layoutInCell="1" allowOverlap="1">
                  <wp:simplePos x="0" y="0"/>
                  <wp:positionH relativeFrom="column">
                    <wp:posOffset>23490</wp:posOffset>
                  </wp:positionH>
                  <wp:positionV relativeFrom="paragraph">
                    <wp:posOffset>-176534</wp:posOffset>
                  </wp:positionV>
                  <wp:extent cx="876296" cy="419096"/>
                  <wp:effectExtent l="0" t="0" r="0" b="4"/>
                  <wp:wrapNone/>
                  <wp:docPr id="114" name="Рисунок 3" descr="base_1_217405_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rcRect/>
                          <a:stretch>
                            <a:fillRect/>
                          </a:stretch>
                        </pic:blipFill>
                        <pic:spPr>
                          <a:xfrm>
                            <a:off x="0" y="0"/>
                            <a:ext cx="876296" cy="419096"/>
                          </a:xfrm>
                          <a:prstGeom prst="rect">
                            <a:avLst/>
                          </a:prstGeom>
                          <a:noFill/>
                          <a:ln>
                            <a:noFill/>
                            <a:prstDash/>
                          </a:ln>
                        </pic:spPr>
                      </pic:pic>
                    </a:graphicData>
                  </a:graphic>
                </wp:anchor>
              </w:drawing>
            </w:r>
          </w:p>
          <w:p w:rsidR="00E85D42" w:rsidRDefault="008113B9">
            <w:r>
              <w:rPr>
                <w:color w:val="000000"/>
              </w:rPr>
              <w:t xml:space="preserve">                           </w:t>
            </w:r>
            <w:r>
              <w:rPr>
                <w:color w:val="000000"/>
                <w:lang w:val="en-US"/>
              </w:rPr>
              <w:t>&gt;1.2</w:t>
            </w:r>
            <w:r>
              <w:rPr>
                <w:color w:val="000000"/>
              </w:rPr>
              <w:t>, где</w:t>
            </w:r>
          </w:p>
        </w:tc>
        <w:tc>
          <w:tcPr>
            <w:tcW w:w="2204"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3421"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r>
      <w:tr w:rsidR="00E85D42">
        <w:tblPrEx>
          <w:tblCellMar>
            <w:top w:w="0" w:type="dxa"/>
            <w:bottom w:w="0" w:type="dxa"/>
          </w:tblCellMar>
        </w:tblPrEx>
        <w:trPr>
          <w:trHeight w:val="2035"/>
        </w:trPr>
        <w:tc>
          <w:tcPr>
            <w:tcW w:w="6526"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2635" w:type="dxa"/>
            <w:tcBorders>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k - коэффициент;</w:t>
            </w:r>
          </w:p>
          <w:p w:rsidR="00E85D42" w:rsidRDefault="008113B9">
            <w:pPr>
              <w:jc w:val="center"/>
              <w:rPr>
                <w:color w:val="000000"/>
              </w:rPr>
            </w:pPr>
            <w:r>
              <w:rPr>
                <w:color w:val="000000"/>
              </w:rPr>
              <w:t>P - периметр;</w:t>
            </w:r>
          </w:p>
          <w:p w:rsidR="00E85D42" w:rsidRDefault="008113B9">
            <w:pPr>
              <w:jc w:val="center"/>
              <w:rPr>
                <w:color w:val="000000"/>
              </w:rPr>
            </w:pPr>
            <w:r>
              <w:rPr>
                <w:color w:val="000000"/>
              </w:rPr>
              <w:t>S - площадь,</w:t>
            </w:r>
          </w:p>
          <w:p w:rsidR="00E85D42" w:rsidRDefault="008113B9">
            <w:pPr>
              <w:jc w:val="center"/>
              <w:rPr>
                <w:color w:val="000000"/>
              </w:rPr>
            </w:pPr>
            <w:r>
              <w:rPr>
                <w:color w:val="000000"/>
              </w:rPr>
              <w:t xml:space="preserve">свидетельствует о сильно вытянутой форме (&gt; </w:t>
            </w:r>
            <w:r>
              <w:rPr>
                <w:color w:val="000000"/>
              </w:rPr>
              <w:t>1/3,5) участка</w:t>
            </w:r>
          </w:p>
        </w:tc>
        <w:tc>
          <w:tcPr>
            <w:tcW w:w="2204"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3421"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r>
      <w:tr w:rsidR="00E85D42">
        <w:tblPrEx>
          <w:tblCellMar>
            <w:top w:w="0" w:type="dxa"/>
            <w:bottom w:w="0" w:type="dxa"/>
          </w:tblCellMar>
        </w:tblPrEx>
        <w:trPr>
          <w:trHeight w:val="1275"/>
        </w:trPr>
        <w:tc>
          <w:tcPr>
            <w:tcW w:w="6526"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Наличие обременений (ограничений) земельного участка</w:t>
            </w:r>
          </w:p>
        </w:tc>
        <w:tc>
          <w:tcPr>
            <w:tcW w:w="2635" w:type="dxa"/>
            <w:tcBorders>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Указывается вид обременений (ограничений) и площадь, попадающая под обременение.</w:t>
            </w:r>
          </w:p>
        </w:tc>
        <w:tc>
          <w:tcPr>
            <w:tcW w:w="2204"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ЕГРН</w:t>
            </w:r>
          </w:p>
        </w:tc>
        <w:tc>
          <w:tcPr>
            <w:tcW w:w="3421"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Используется в процессе определения кадастровой стоимости в рамках индивидуального и массового </w:t>
            </w:r>
            <w:r>
              <w:rPr>
                <w:color w:val="000000"/>
              </w:rPr>
              <w:t>расчета.</w:t>
            </w:r>
          </w:p>
        </w:tc>
      </w:tr>
      <w:tr w:rsidR="00E85D42">
        <w:tblPrEx>
          <w:tblCellMar>
            <w:top w:w="0" w:type="dxa"/>
            <w:bottom w:w="0" w:type="dxa"/>
          </w:tblCellMar>
        </w:tblPrEx>
        <w:trPr>
          <w:trHeight w:val="2820"/>
        </w:trPr>
        <w:tc>
          <w:tcPr>
            <w:tcW w:w="6526"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В случае наличия нескольких обременений (ограничений) требуется самостоятельное указание каждого (например, водоохранная зона, зона запрета застройки, отнесение участка к историко-культурным или иным охраняемым объектам)</w:t>
            </w:r>
          </w:p>
        </w:tc>
        <w:tc>
          <w:tcPr>
            <w:tcW w:w="2204"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3421"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r>
      <w:tr w:rsidR="00E85D42">
        <w:tblPrEx>
          <w:tblCellMar>
            <w:top w:w="0" w:type="dxa"/>
            <w:bottom w:w="0" w:type="dxa"/>
          </w:tblCellMar>
        </w:tblPrEx>
        <w:trPr>
          <w:trHeight w:val="180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Характеристики </w:t>
            </w:r>
            <w:r>
              <w:rPr>
                <w:color w:val="000000"/>
              </w:rPr>
              <w:t>застройки земельного участка</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Отношение площади застройки всех ОКС к площади земельного участка, отношение общей площади всех ОКС к площади земельного участка</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ЕГРН</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и массовог</w:t>
            </w:r>
            <w:r>
              <w:rPr>
                <w:color w:val="000000"/>
              </w:rPr>
              <w:t>о расчета.</w:t>
            </w:r>
          </w:p>
        </w:tc>
      </w:tr>
      <w:tr w:rsidR="00E85D42">
        <w:tblPrEx>
          <w:tblCellMar>
            <w:top w:w="0" w:type="dxa"/>
            <w:bottom w:w="0" w:type="dxa"/>
          </w:tblCellMar>
        </w:tblPrEx>
        <w:trPr>
          <w:trHeight w:val="31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Дополнительные характеристики сегмента "Сельскохозяйственное использование"</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w:t>
            </w:r>
          </w:p>
        </w:tc>
      </w:tr>
      <w:tr w:rsidR="00E85D42">
        <w:tblPrEx>
          <w:tblCellMar>
            <w:top w:w="0" w:type="dxa"/>
            <w:bottom w:w="0" w:type="dxa"/>
          </w:tblCellMar>
        </w:tblPrEx>
        <w:trPr>
          <w:trHeight w:val="817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Вид угодий</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Пашня; сенокосы; пастбища; залежь; многолетние насаждения; земли, занятые зданиями, строениями, сооружениями, используемыми для производства, хранения</w:t>
            </w:r>
            <w:r>
              <w:rPr>
                <w:color w:val="000000"/>
              </w:rPr>
              <w:t xml:space="preserve"> и первичной переработки сельскохозяйственной продукции; земли, занятые зданиями, строениями, сооружениями для ведения птицеводства, животноводства; земли, занятые зданиями, строениями, сооружениями для хранения и обслуживания техники, прочими вспомогатель</w:t>
            </w:r>
            <w:r>
              <w:rPr>
                <w:color w:val="000000"/>
              </w:rPr>
              <w:t>ными объектами;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(вредных) природных, антропогенных и техногенных явлений, замкнуты</w:t>
            </w:r>
            <w:r>
              <w:rPr>
                <w:color w:val="000000"/>
              </w:rPr>
              <w:t>е водоемы</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ЕГРН</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группировки объектов оценки</w:t>
            </w:r>
          </w:p>
        </w:tc>
      </w:tr>
      <w:tr w:rsidR="00E85D42">
        <w:tblPrEx>
          <w:tblCellMar>
            <w:top w:w="0" w:type="dxa"/>
            <w:bottom w:w="0" w:type="dxa"/>
          </w:tblCellMar>
        </w:tblPrEx>
        <w:trPr>
          <w:trHeight w:val="231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Нормативная урожайность, ц/га</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Указывается для сельскохозяйственных угодий на основе почвенной и агроэкологической информации. При выращивании разных культур указывается нормативная </w:t>
            </w:r>
            <w:r>
              <w:rPr>
                <w:color w:val="000000"/>
              </w:rPr>
              <w:t>урожайность по каждой культуре</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Технические указания по государственной кадастровой оценке земель сельскохозяйственного назначения, утверждённые  правлением НП "Кадастр-оценка", протокол заседания №29 от 27.12.2010 г.</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w:t>
            </w:r>
            <w:r>
              <w:rPr>
                <w:color w:val="000000"/>
              </w:rPr>
              <w:t>астровой стоимости в рамках массового расчета.</w:t>
            </w:r>
          </w:p>
        </w:tc>
      </w:tr>
      <w:tr w:rsidR="00E85D42">
        <w:tblPrEx>
          <w:tblCellMar>
            <w:top w:w="0" w:type="dxa"/>
            <w:bottom w:w="0" w:type="dxa"/>
          </w:tblCellMar>
        </w:tblPrEx>
        <w:trPr>
          <w:trHeight w:val="154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Гранулометрический состав почв (мех состав)</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bookmarkStart w:id="124" w:name="RANGE!B22"/>
            <w:r>
              <w:rPr>
                <w:color w:val="000000"/>
              </w:rPr>
              <w:t>Относительное содержание в почве частиц различных размеров. По крупности: пески; супеси, суглинок легкий, суглинок средний, суглинок тяжелый, глина</w:t>
            </w:r>
            <w:bookmarkEnd w:id="124"/>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http://egrpr.soil.msu.ru/, информация из фонда данных предыдущих туров государственной кадастровой оценки</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для определения  содержания физической глины в пахотном слое в расчетах в рамках массовой оценки</w:t>
            </w: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Каменистость почв</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Содержание твердых </w:t>
            </w:r>
            <w:r>
              <w:rPr>
                <w:color w:val="000000"/>
              </w:rPr>
              <w:t>частиц размером более 3 мм</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129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Засоление почв</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Накопления в почве более 0,25% от ее массы солей, вредных для растений (хлориды, карбонаты натрия, сульфаты)</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w:t>
            </w:r>
            <w:r>
              <w:rPr>
                <w:color w:val="000000"/>
              </w:rPr>
              <w:t xml:space="preserve"> данных</w:t>
            </w:r>
          </w:p>
        </w:tc>
      </w:tr>
      <w:tr w:rsidR="00E85D42">
        <w:tblPrEx>
          <w:tblCellMar>
            <w:top w:w="0" w:type="dxa"/>
            <w:bottom w:w="0" w:type="dxa"/>
          </w:tblCellMar>
        </w:tblPrEx>
        <w:trPr>
          <w:trHeight w:val="78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Солонцеватость почв</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Содержание обменного натрия более 5% от емкости обмена почвы</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78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Солонцы по мощности надсолонцового горизонта</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Корковые (&lt; 5 см), мелкие (5 - 10 см), средние (10 - 18 см), </w:t>
            </w:r>
            <w:r>
              <w:rPr>
                <w:color w:val="000000"/>
              </w:rPr>
              <w:t>глубокие (&gt; 18 см)</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78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Карбонатность почв</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Наличие (отсутствие) сильно окарбоначенных (более 30% CaCO3) пород</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154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Уплотнение почв</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Наличие (отсутствие) </w:t>
            </w:r>
            <w:r>
              <w:rPr>
                <w:color w:val="000000"/>
              </w:rPr>
              <w:t>изменения сложения почвы под воздействием высоких механических нагрузок (тяжелой техникой, перевыпасом скота и др.)</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129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Переувлажнение</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Наличие (отсутствие) подъема уровня грунтовых вод, связанного с </w:t>
            </w:r>
            <w:r>
              <w:rPr>
                <w:color w:val="000000"/>
              </w:rPr>
              <w:t>хозяйственной деятельностью человека</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78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Наличие неудобиц (степень изрезанности рельефом)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Сильноизрезанная, умеренно изрезанная, слабоизрезанная</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180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Пестрота почвенного покрова</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Наличие разных почв на одном земельном участке, пятен засоления, заболачивания, выходов скальных пород, загрязнения почв в результате техногенных катастроф</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154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 xml:space="preserve">Удаленность от </w:t>
            </w:r>
            <w:r>
              <w:rPr>
                <w:color w:val="000000"/>
              </w:rPr>
              <w:t>рынков сбыта, км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Указывается относительно геометрического центра участка расстояние до пунктов реализации сельскохозяйственной продукции</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154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b/>
                <w:color w:val="000000"/>
              </w:rPr>
            </w:pPr>
            <w:r>
              <w:rPr>
                <w:b/>
                <w:color w:val="000000"/>
              </w:rPr>
              <w:t>Сведения о местоположении</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jc w:val="center"/>
              <w:rPr>
                <w:color w:val="000000"/>
              </w:rPr>
            </w:pP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jc w:val="center"/>
              <w:rPr>
                <w:color w:val="000000"/>
              </w:rPr>
            </w:pP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jc w:val="center"/>
              <w:rPr>
                <w:color w:val="000000"/>
              </w:rPr>
            </w:pPr>
          </w:p>
        </w:tc>
      </w:tr>
      <w:tr w:rsidR="00E85D42">
        <w:tblPrEx>
          <w:tblCellMar>
            <w:top w:w="0" w:type="dxa"/>
            <w:bottom w:w="0" w:type="dxa"/>
          </w:tblCellMar>
        </w:tblPrEx>
        <w:trPr>
          <w:trHeight w:val="103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Расположение земельного участка </w:t>
            </w:r>
            <w:r>
              <w:rPr>
                <w:color w:val="000000"/>
              </w:rPr>
              <w:t>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w:t>
            </w:r>
            <w:r>
              <w:rPr>
                <w:color w:val="000000"/>
              </w:rPr>
              <w:t>е), (км, прочее)</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Определено средствами ГИС «MapInfo» на основании картографического материала, предоставленного ГК РБ по строительству и архитектуре</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и массового расчета.</w:t>
            </w:r>
          </w:p>
        </w:tc>
      </w:tr>
      <w:tr w:rsidR="00E85D42">
        <w:tblPrEx>
          <w:tblCellMar>
            <w:top w:w="0" w:type="dxa"/>
            <w:bottom w:w="0" w:type="dxa"/>
          </w:tblCellMar>
        </w:tblPrEx>
        <w:trPr>
          <w:trHeight w:val="78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Линия застройки ОКС</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https://yandex.ru/maps</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и массового расчета.</w:t>
            </w:r>
          </w:p>
        </w:tc>
      </w:tr>
      <w:tr w:rsidR="00E85D42">
        <w:tblPrEx>
          <w:tblCellMar>
            <w:top w:w="0" w:type="dxa"/>
            <w:bottom w:w="0" w:type="dxa"/>
          </w:tblCellMar>
        </w:tblPrEx>
        <w:trPr>
          <w:trHeight w:val="103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Расположение земельного участка относительно ближайшего водного объекта, его наименование, тип (море, </w:t>
            </w:r>
            <w:r>
              <w:rPr>
                <w:color w:val="000000"/>
              </w:rPr>
              <w:t>река, озеро, пруд, затопленный карьер и прочее), (км, прочее)</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Пожарные водоемы, прочие мелкие водные объекты не подлежат учету</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https://yandex.ru/maps</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и массового расчета.</w:t>
            </w:r>
          </w:p>
        </w:tc>
      </w:tr>
      <w:tr w:rsidR="00E85D42">
        <w:tblPrEx>
          <w:tblCellMar>
            <w:top w:w="0" w:type="dxa"/>
            <w:bottom w:w="0" w:type="dxa"/>
          </w:tblCellMar>
        </w:tblPrEx>
        <w:trPr>
          <w:trHeight w:val="78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Санитарно-защитные полосы не подлежат учету</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https://yandex.ru/maps</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w:t>
            </w:r>
            <w:r>
              <w:rPr>
                <w:color w:val="000000"/>
              </w:rPr>
              <w:t xml:space="preserve"> кадастровой стоимости в рамках индивидуального и массового расчета.</w:t>
            </w:r>
          </w:p>
        </w:tc>
      </w:tr>
      <w:tr w:rsidR="00E85D42">
        <w:tblPrEx>
          <w:tblCellMar>
            <w:top w:w="0" w:type="dxa"/>
            <w:bottom w:w="0" w:type="dxa"/>
          </w:tblCellMar>
        </w:tblPrEx>
        <w:trPr>
          <w:trHeight w:val="2050"/>
        </w:trPr>
        <w:tc>
          <w:tcPr>
            <w:tcW w:w="6526" w:type="dxa"/>
            <w:tcBorders>
              <w:left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Расположение земельного участка относительно железных дорог, их тип (грузовая, пассажирская, смешенного назначения;</w:t>
            </w:r>
          </w:p>
          <w:p w:rsidR="00E85D42" w:rsidRDefault="008113B9">
            <w:pPr>
              <w:jc w:val="center"/>
              <w:rPr>
                <w:color w:val="000000"/>
              </w:rPr>
            </w:pPr>
            <w:r>
              <w:rPr>
                <w:color w:val="000000"/>
              </w:rPr>
              <w:t xml:space="preserve">пригородная, транзитная; промышленная, временная, тупиковая), (км, </w:t>
            </w:r>
            <w:r>
              <w:rPr>
                <w:color w:val="000000"/>
              </w:rPr>
              <w:t>прочее)</w:t>
            </w:r>
          </w:p>
        </w:tc>
        <w:tc>
          <w:tcPr>
            <w:tcW w:w="263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w:t>
            </w:r>
          </w:p>
        </w:tc>
        <w:tc>
          <w:tcPr>
            <w:tcW w:w="2204"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Определено средствами ГИС «MapInfo» на основании картографического материала, предоставленного ГК РБ по строительству и архитектуре</w:t>
            </w:r>
          </w:p>
        </w:tc>
        <w:tc>
          <w:tcPr>
            <w:tcW w:w="342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и массового расчета.</w:t>
            </w:r>
          </w:p>
        </w:tc>
      </w:tr>
      <w:tr w:rsidR="00E85D42">
        <w:tblPrEx>
          <w:tblCellMar>
            <w:top w:w="0" w:type="dxa"/>
            <w:bottom w:w="0" w:type="dxa"/>
          </w:tblCellMar>
        </w:tblPrEx>
        <w:trPr>
          <w:trHeight w:val="129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Категория, проектная мощность линейного объекта</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Указывается при оценке линейных объектов в соответствии с нормативно-технической документации и (или) паспортом</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Класс линейного объекта</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Подземный, </w:t>
            </w:r>
            <w:r>
              <w:rPr>
                <w:color w:val="000000"/>
              </w:rPr>
              <w:t>наземный, надземный</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Расположение земельного участка относительно линий электропередач, (км)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2821"/>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Протяженность земельных участков под линейными </w:t>
            </w:r>
            <w:r>
              <w:rPr>
                <w:color w:val="000000"/>
              </w:rPr>
              <w:t>объектами, (км)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Протяженность земельных участков под линиями электропередач, трубопроводным транспортом, автомобильными и железными дорогами, мостами и прочими объектами. Протяженность считается по обеим продольным сторонам линейного объекта</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w:t>
            </w:r>
            <w:r>
              <w:rPr>
                <w:color w:val="000000"/>
              </w:rPr>
              <w:t>алось ввиду отсутствия достоверных данных</w:t>
            </w: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Расположение земельного участка относительно магистральных газопроводов, (км)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Описание коммуникаций (электроснабжение, газоснабжение, водоснабжение, </w:t>
            </w:r>
            <w:r>
              <w:rPr>
                <w:color w:val="000000"/>
              </w:rPr>
              <w:t>теплоснабжение, канализация), в том числе их удаленность от земельного участка</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r>
              <w:rPr>
                <w:b/>
              </w:rPr>
              <w:t>Прочие сведения</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jc w:val="center"/>
              <w:rPr>
                <w:color w:val="000000"/>
              </w:rPr>
            </w:pP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jc w:val="center"/>
              <w:rPr>
                <w:color w:val="000000"/>
              </w:rPr>
            </w:pP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jc w:val="center"/>
              <w:rPr>
                <w:color w:val="000000"/>
              </w:rPr>
            </w:pP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Уровень цен потребительской корзины по муниципальным районам (городским округам), (руб./чел.)</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достоверных данных</w:t>
            </w:r>
          </w:p>
        </w:tc>
      </w:tr>
      <w:tr w:rsidR="00E85D42">
        <w:tblPrEx>
          <w:tblCellMar>
            <w:top w:w="0" w:type="dxa"/>
            <w:bottom w:w="0" w:type="dxa"/>
          </w:tblCellMar>
        </w:tblPrEx>
        <w:trPr>
          <w:trHeight w:val="78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Товарооборот на 1 человека по муниципальным районам (городским округам), (руб./чел.)</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http://bashstat.gks.ru/</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и массо</w:t>
            </w:r>
            <w:r>
              <w:rPr>
                <w:color w:val="000000"/>
              </w:rPr>
              <w:t>вого расчета.</w:t>
            </w: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Наличие в сельском населенном пункте магазина</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Наличие либо отсутствие</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влияния на стоимость объектов оценки</w:t>
            </w:r>
          </w:p>
        </w:tc>
      </w:tr>
      <w:tr w:rsidR="00E85D42">
        <w:tblPrEx>
          <w:tblCellMar>
            <w:top w:w="0" w:type="dxa"/>
            <w:bottom w:w="0" w:type="dxa"/>
          </w:tblCellMar>
        </w:tblPrEx>
        <w:trPr>
          <w:trHeight w:val="52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Наличие в сельском населенном пункте общеобразовательной школы</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Наличие либо отсутствие</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Не </w:t>
            </w:r>
            <w:r>
              <w:rPr>
                <w:color w:val="000000"/>
              </w:rPr>
              <w:t>использовалось ввиду отсутствия влияния на стоимость объектов оценки</w:t>
            </w:r>
          </w:p>
        </w:tc>
      </w:tr>
      <w:tr w:rsidR="00E85D42">
        <w:tblPrEx>
          <w:tblCellMar>
            <w:top w:w="0" w:type="dxa"/>
            <w:bottom w:w="0" w:type="dxa"/>
          </w:tblCellMar>
        </w:tblPrEx>
        <w:trPr>
          <w:trHeight w:val="129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Расстояние до земельных участков зоны разработки полезных ископаемых, (км)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Указывается расстояние от границ земельных участков до границы участка разработки полезных ископаемых</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Не </w:t>
            </w:r>
            <w:r>
              <w:rPr>
                <w:color w:val="000000"/>
              </w:rPr>
              <w:t>использовалось ввиду отсутствия достоверных данных</w:t>
            </w:r>
          </w:p>
        </w:tc>
      </w:tr>
      <w:tr w:rsidR="00E85D42">
        <w:tblPrEx>
          <w:tblCellMar>
            <w:top w:w="0" w:type="dxa"/>
            <w:bottom w:w="0" w:type="dxa"/>
          </w:tblCellMar>
        </w:tblPrEx>
        <w:trPr>
          <w:trHeight w:val="154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Зоны особого режима использования в границах земельных участков</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Указывается расстояние от границ земельных участков до границ свалок, объектов Минобороны России (военных полигонов), кладбищ и прочее</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Не </w:t>
            </w:r>
            <w:r>
              <w:rPr>
                <w:color w:val="000000"/>
              </w:rPr>
              <w:t>использовалось ввиду отсутствия достоверных данных</w:t>
            </w:r>
          </w:p>
        </w:tc>
      </w:tr>
      <w:tr w:rsidR="00E85D42">
        <w:tblPrEx>
          <w:tblCellMar>
            <w:top w:w="0" w:type="dxa"/>
            <w:bottom w:w="0" w:type="dxa"/>
          </w:tblCellMar>
        </w:tblPrEx>
        <w:trPr>
          <w:trHeight w:val="129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Принадлежность земельного участка к организованной промышленной зоне, (км)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Указывается расстояние от границ земельных участков до границы ближайшей организованной промышленной зоны</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Не использовалось </w:t>
            </w:r>
            <w:r>
              <w:rPr>
                <w:color w:val="000000"/>
              </w:rPr>
              <w:t>ввиду отсутствия достоверных данных</w:t>
            </w:r>
          </w:p>
        </w:tc>
      </w:tr>
      <w:tr w:rsidR="00E85D42">
        <w:tblPrEx>
          <w:tblCellMar>
            <w:top w:w="0" w:type="dxa"/>
            <w:bottom w:w="0" w:type="dxa"/>
          </w:tblCellMar>
        </w:tblPrEx>
        <w:trPr>
          <w:trHeight w:val="231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Наименование и расстояние от объекта до локального (локальных) центра (центров), положительно влияющего (влияющих) на стоимость объектов недвижимости, (км)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К положительно влияющим факторам могут быть отнесены места, не </w:t>
            </w:r>
            <w:r>
              <w:rPr>
                <w:color w:val="000000"/>
              </w:rPr>
              <w:t>связанные напрямую с вышеперечисленными факторами, но положительно влияющие на стоимость объектов недвижимости</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влияния на стоимость объектов оценки</w:t>
            </w:r>
          </w:p>
        </w:tc>
      </w:tr>
      <w:tr w:rsidR="00E85D42">
        <w:tblPrEx>
          <w:tblCellMar>
            <w:top w:w="0" w:type="dxa"/>
            <w:bottom w:w="0" w:type="dxa"/>
          </w:tblCellMar>
        </w:tblPrEx>
        <w:trPr>
          <w:trHeight w:val="4605"/>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Наименование и расстояние от объекта до локального(-ых) центра(-ов), </w:t>
            </w:r>
            <w:r>
              <w:rPr>
                <w:color w:val="000000"/>
              </w:rPr>
              <w:t>отрицательно влияющего(-их) на стоимость объектов недвижимости, (км)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К отрицательно влияющим факторам могут быть отнесены места, не связанные напрямую с вышеперечисленными факторами, но отрицательно влияющие на стоимость объектов недвижимости, в том числе </w:t>
            </w:r>
            <w:r>
              <w:rPr>
                <w:color w:val="000000"/>
              </w:rPr>
              <w:t>наличие неорганизованных (хаотичных) свалок, заболоченность или экологическое загрязнение территории и прочее. В случае наличия нескольких факторов информация по каждому фактору указывается индивидуально</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Не использовалось ввиду отсутствия влияния на стои</w:t>
            </w:r>
            <w:r>
              <w:rPr>
                <w:color w:val="000000"/>
              </w:rPr>
              <w:t>мость объектов оценки</w:t>
            </w:r>
          </w:p>
        </w:tc>
      </w:tr>
      <w:tr w:rsidR="00E85D42">
        <w:tblPrEx>
          <w:tblCellMar>
            <w:top w:w="0" w:type="dxa"/>
            <w:bottom w:w="0" w:type="dxa"/>
          </w:tblCellMar>
        </w:tblPrEx>
        <w:trPr>
          <w:trHeight w:val="510"/>
        </w:trPr>
        <w:tc>
          <w:tcPr>
            <w:tcW w:w="14786"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Ценообразующие факторы, непредусмотренные МУ</w:t>
            </w:r>
          </w:p>
        </w:tc>
      </w:tr>
      <w:tr w:rsidR="00E85D42">
        <w:tblPrEx>
          <w:tblCellMar>
            <w:top w:w="0" w:type="dxa"/>
            <w:bottom w:w="0" w:type="dxa"/>
          </w:tblCellMar>
        </w:tblPrEx>
        <w:trPr>
          <w:trHeight w:val="2533"/>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Показатель средней рыночной стоимости 1 кв.м.  общей  площади жилья  (в рублях)  на IV квартал 2017 года.</w:t>
            </w:r>
          </w:p>
        </w:tc>
        <w:tc>
          <w:tcPr>
            <w:tcW w:w="263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Приведены значения средней стоимости 1 кв.м. площади жилых помещений в разрезе </w:t>
            </w:r>
            <w:r>
              <w:rPr>
                <w:color w:val="000000"/>
              </w:rPr>
              <w:t>муниципальных образований Республики Башкортостан</w:t>
            </w:r>
          </w:p>
        </w:tc>
        <w:tc>
          <w:tcPr>
            <w:tcW w:w="2204" w:type="dxa"/>
            <w:tcBorders>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Приказ ГК РБ по строительству и архитектуре № 295.от 12.10.2017 года</w:t>
            </w:r>
          </w:p>
        </w:tc>
        <w:tc>
          <w:tcPr>
            <w:tcW w:w="3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и массового расчета.</w:t>
            </w:r>
          </w:p>
          <w:p w:rsidR="00E85D42" w:rsidRDefault="008113B9">
            <w:pPr>
              <w:jc w:val="center"/>
              <w:rPr>
                <w:color w:val="000000"/>
              </w:rPr>
            </w:pPr>
            <w:r>
              <w:rPr>
                <w:color w:val="000000"/>
              </w:rPr>
              <w:t xml:space="preserve">Данный фактор, имея определяющее </w:t>
            </w:r>
            <w:r>
              <w:rPr>
                <w:color w:val="000000"/>
              </w:rPr>
              <w:t>значение при формировании стоимости на рынке жилья, также характеризует общую тенденцию ценообразования на рынке недвижимости в пределах того или иного административного района Республики Башкортостан</w:t>
            </w:r>
          </w:p>
        </w:tc>
      </w:tr>
      <w:tr w:rsidR="00E85D42">
        <w:tblPrEx>
          <w:tblCellMar>
            <w:top w:w="0" w:type="dxa"/>
            <w:bottom w:w="0" w:type="dxa"/>
          </w:tblCellMar>
        </w:tblPrEx>
        <w:trPr>
          <w:trHeight w:val="129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Наличие достаточной информации (Графическая привязка)</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Выделены объекты оценки, имеющие координаты границ земельных участков</w:t>
            </w:r>
          </w:p>
        </w:tc>
        <w:tc>
          <w:tcPr>
            <w:tcW w:w="2204"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Определено средствами ГИС «MapInfo»</w:t>
            </w:r>
          </w:p>
        </w:tc>
        <w:tc>
          <w:tcPr>
            <w:tcW w:w="3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группировки объектов оценки. Использование обусловлено необходимостью достоверного определения местоположения которых земельны</w:t>
            </w:r>
            <w:r>
              <w:rPr>
                <w:color w:val="000000"/>
              </w:rPr>
              <w:t>х участков с целью описания их  в разрезе значений ценовых факторов.</w:t>
            </w:r>
          </w:p>
        </w:tc>
      </w:tr>
      <w:tr w:rsidR="00E85D42">
        <w:tblPrEx>
          <w:tblCellMar>
            <w:top w:w="0" w:type="dxa"/>
            <w:bottom w:w="0" w:type="dxa"/>
          </w:tblCellMar>
        </w:tblPrEx>
        <w:trPr>
          <w:trHeight w:val="765"/>
        </w:trPr>
        <w:tc>
          <w:tcPr>
            <w:tcW w:w="6526"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Уровень заработной платы по МО/ГО</w:t>
            </w:r>
          </w:p>
        </w:tc>
        <w:tc>
          <w:tcPr>
            <w:tcW w:w="2635"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w:t>
            </w:r>
          </w:p>
        </w:tc>
        <w:tc>
          <w:tcPr>
            <w:tcW w:w="2204"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http://bashstat.gks.ru/</w:t>
            </w:r>
          </w:p>
        </w:tc>
        <w:tc>
          <w:tcPr>
            <w:tcW w:w="3421" w:type="dxa"/>
            <w:tcBorders>
              <w:top w:val="single" w:sz="4"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и массового расчета.</w:t>
            </w:r>
          </w:p>
        </w:tc>
      </w:tr>
      <w:tr w:rsidR="00E85D42">
        <w:tblPrEx>
          <w:tblCellMar>
            <w:top w:w="0" w:type="dxa"/>
            <w:bottom w:w="0" w:type="dxa"/>
          </w:tblCellMar>
        </w:tblPrEx>
        <w:trPr>
          <w:trHeight w:val="780"/>
        </w:trPr>
        <w:tc>
          <w:tcPr>
            <w:tcW w:w="6526"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2635"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2204"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Характеризует </w:t>
            </w:r>
            <w:r>
              <w:rPr>
                <w:color w:val="000000"/>
              </w:rPr>
              <w:t>общий уровень социально-экономического развития района, влияющий на ценообразование в регионе.</w:t>
            </w:r>
          </w:p>
        </w:tc>
      </w:tr>
      <w:tr w:rsidR="00E85D42">
        <w:tblPrEx>
          <w:tblCellMar>
            <w:top w:w="0" w:type="dxa"/>
            <w:bottom w:w="0" w:type="dxa"/>
          </w:tblCellMar>
        </w:tblPrEx>
        <w:trPr>
          <w:trHeight w:val="765"/>
        </w:trPr>
        <w:tc>
          <w:tcPr>
            <w:tcW w:w="6526"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Вид деятельности</w:t>
            </w:r>
          </w:p>
        </w:tc>
        <w:tc>
          <w:tcPr>
            <w:tcW w:w="2635"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Ранжированный показатель:1 – деятельность, связанная с сельскохозяйственным производством, 2 деятельность, связанная с промышленным </w:t>
            </w:r>
            <w:r>
              <w:rPr>
                <w:color w:val="000000"/>
              </w:rPr>
              <w:t>производством.</w:t>
            </w:r>
          </w:p>
        </w:tc>
        <w:tc>
          <w:tcPr>
            <w:tcW w:w="2204"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Выполнен на основании кодов вида использования объектов оценки</w:t>
            </w:r>
          </w:p>
        </w:tc>
        <w:tc>
          <w:tcPr>
            <w:tcW w:w="3421" w:type="dxa"/>
            <w:tcBorders>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методом на основе построения статистических (регрессионных) моделей.</w:t>
            </w:r>
          </w:p>
        </w:tc>
      </w:tr>
      <w:tr w:rsidR="00E85D42">
        <w:tblPrEx>
          <w:tblCellMar>
            <w:top w:w="0" w:type="dxa"/>
            <w:bottom w:w="0" w:type="dxa"/>
          </w:tblCellMar>
        </w:tblPrEx>
        <w:trPr>
          <w:trHeight w:val="525"/>
        </w:trPr>
        <w:tc>
          <w:tcPr>
            <w:tcW w:w="6526"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2635"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2204"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E85D42">
            <w:pPr>
              <w:rPr>
                <w:color w:val="000000"/>
              </w:rPr>
            </w:pP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Введен виду широкого диапазона видов </w:t>
            </w:r>
            <w:r>
              <w:rPr>
                <w:color w:val="000000"/>
              </w:rPr>
              <w:t>использования земельных участков</w:t>
            </w:r>
          </w:p>
        </w:tc>
      </w:tr>
      <w:tr w:rsidR="00E85D42">
        <w:tblPrEx>
          <w:tblCellMar>
            <w:top w:w="0" w:type="dxa"/>
            <w:bottom w:w="0" w:type="dxa"/>
          </w:tblCellMar>
        </w:tblPrEx>
        <w:trPr>
          <w:trHeight w:val="78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Мощность гумусового горизонта, см</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Свойство почв, определяющее  их агрономические качества</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http://egrpr.soil.msu.ru/, информация из фонда данных предыдущих туров государственной кадастровой оценки</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Используется в процессе </w:t>
            </w:r>
            <w:r>
              <w:rPr>
                <w:color w:val="000000"/>
              </w:rPr>
              <w:t>определения кадастровой стоимости в рамках  массового расчета.</w:t>
            </w:r>
          </w:p>
        </w:tc>
      </w:tr>
      <w:tr w:rsidR="00E85D42">
        <w:tblPrEx>
          <w:tblCellMar>
            <w:top w:w="0" w:type="dxa"/>
            <w:bottom w:w="0" w:type="dxa"/>
          </w:tblCellMar>
        </w:tblPrEx>
        <w:trPr>
          <w:trHeight w:val="780"/>
        </w:trPr>
        <w:tc>
          <w:tcPr>
            <w:tcW w:w="652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Содержание гумуса, %</w:t>
            </w:r>
          </w:p>
        </w:tc>
        <w:tc>
          <w:tcPr>
            <w:tcW w:w="263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Свойство почв, определяющее  их агрономические качества</w:t>
            </w:r>
          </w:p>
        </w:tc>
        <w:tc>
          <w:tcPr>
            <w:tcW w:w="220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http://egrpr.soil.msu.ru/, информация из фонда данных предыдущих туров государственной кадастровой оценки</w:t>
            </w:r>
          </w:p>
        </w:tc>
        <w:tc>
          <w:tcPr>
            <w:tcW w:w="342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массового расчета.</w:t>
            </w:r>
          </w:p>
        </w:tc>
      </w:tr>
      <w:tr w:rsidR="00E85D42">
        <w:tblPrEx>
          <w:tblCellMar>
            <w:top w:w="0" w:type="dxa"/>
            <w:bottom w:w="0" w:type="dxa"/>
          </w:tblCellMar>
        </w:tblPrEx>
        <w:trPr>
          <w:trHeight w:val="780"/>
        </w:trPr>
        <w:tc>
          <w:tcPr>
            <w:tcW w:w="6526" w:type="dxa"/>
            <w:tcBorders>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Содержание физической глины в пахотном слое (%)</w:t>
            </w:r>
          </w:p>
        </w:tc>
        <w:tc>
          <w:tcPr>
            <w:tcW w:w="2635" w:type="dxa"/>
            <w:tcBorders>
              <w:bottom w:val="single" w:sz="4"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Свойство почв, определяющее  их агрономические качества</w:t>
            </w:r>
          </w:p>
        </w:tc>
        <w:tc>
          <w:tcPr>
            <w:tcW w:w="2204" w:type="dxa"/>
            <w:tcBorders>
              <w:bottom w:val="single" w:sz="4"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http://egrpr.soil.msu.ru/, информация из фонда данных предыдущих</w:t>
            </w:r>
            <w:r>
              <w:rPr>
                <w:color w:val="000000"/>
              </w:rPr>
              <w:t xml:space="preserve"> туров государственной кадастровой оценки</w:t>
            </w:r>
          </w:p>
        </w:tc>
        <w:tc>
          <w:tcPr>
            <w:tcW w:w="3421" w:type="dxa"/>
            <w:tcBorders>
              <w:bottom w:val="single" w:sz="4"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массового расчета.</w:t>
            </w:r>
          </w:p>
        </w:tc>
      </w:tr>
      <w:tr w:rsidR="00E85D42">
        <w:tblPrEx>
          <w:tblCellMar>
            <w:top w:w="0" w:type="dxa"/>
            <w:bottom w:w="0" w:type="dxa"/>
          </w:tblCellMar>
        </w:tblPrEx>
        <w:trPr>
          <w:trHeight w:val="780"/>
        </w:trPr>
        <w:tc>
          <w:tcPr>
            <w:tcW w:w="6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Статус населенного пункта</w:t>
            </w:r>
          </w:p>
        </w:tc>
        <w:tc>
          <w:tcPr>
            <w:tcW w:w="2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Фактор, определяющий местоположение объекта оценки</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 xml:space="preserve">Справочник оценщика недвижимости – 2018. </w:t>
            </w:r>
            <w:r>
              <w:rPr>
                <w:color w:val="000000"/>
              </w:rPr>
              <w:t>Земельные участки. Часть I / Л.А. Лейфер, Т.В. Крайникова. – Н.Новгород: Приволжский центр методического и информационного обеспечения оценки, 2018. – 286 с</w:t>
            </w:r>
          </w:p>
        </w:tc>
        <w:tc>
          <w:tcPr>
            <w:tcW w:w="3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Используется в процессе определения кадастровой стоимости в рамках индивидуального и массового расч</w:t>
            </w:r>
            <w:r>
              <w:rPr>
                <w:color w:val="000000"/>
              </w:rPr>
              <w:t>ета.</w:t>
            </w:r>
          </w:p>
        </w:tc>
      </w:tr>
    </w:tbl>
    <w:p w:rsidR="00E85D42" w:rsidRDefault="008113B9">
      <w:pPr>
        <w:sectPr w:rsidR="00E85D42">
          <w:headerReference w:type="default" r:id="rId310"/>
          <w:footerReference w:type="default" r:id="rId311"/>
          <w:headerReference w:type="first" r:id="rId312"/>
          <w:footerReference w:type="first" r:id="rId313"/>
          <w:pgSz w:w="16838" w:h="11906" w:orient="landscape"/>
          <w:pgMar w:top="1701" w:right="1134" w:bottom="851" w:left="1134" w:header="720" w:footer="720" w:gutter="0"/>
          <w:pgBorders w:offsetFrom="page">
            <w:top w:val="single" w:sz="18" w:space="24" w:color="000000"/>
            <w:left w:val="single" w:sz="18" w:space="24" w:color="000000"/>
            <w:bottom w:val="single" w:sz="18" w:space="24" w:color="000000"/>
            <w:right w:val="single" w:sz="18" w:space="24" w:color="000000"/>
          </w:pgBorders>
          <w:cols w:space="720"/>
          <w:titlePg/>
        </w:sectPr>
      </w:pPr>
      <w:r>
        <w:t xml:space="preserve"> </w:t>
      </w:r>
    </w:p>
    <w:p w:rsidR="00E85D42" w:rsidRDefault="008113B9">
      <w:pPr>
        <w:keepNext/>
        <w:tabs>
          <w:tab w:val="left" w:pos="851"/>
        </w:tabs>
        <w:ind w:left="864"/>
        <w:jc w:val="center"/>
        <w:outlineLvl w:val="3"/>
        <w:rPr>
          <w:b/>
          <w:iCs/>
          <w:sz w:val="24"/>
        </w:rPr>
      </w:pPr>
      <w:bookmarkStart w:id="125" w:name="_Toc511658821"/>
      <w:bookmarkStart w:id="126" w:name="_Toc11934891"/>
      <w:r>
        <w:rPr>
          <w:b/>
          <w:iCs/>
          <w:sz w:val="24"/>
        </w:rPr>
        <w:t>3.1.8. Обоснование моделей оценки кадастровой стоимости</w:t>
      </w:r>
      <w:bookmarkEnd w:id="125"/>
      <w:bookmarkEnd w:id="126"/>
    </w:p>
    <w:p w:rsidR="00E85D42" w:rsidRDefault="008113B9">
      <w:pPr>
        <w:ind w:firstLine="540"/>
        <w:jc w:val="both"/>
        <w:rPr>
          <w:sz w:val="24"/>
        </w:rPr>
      </w:pPr>
      <w:r>
        <w:rPr>
          <w:sz w:val="24"/>
        </w:rPr>
        <w:t>Анализ рыночной информации на предмет использования ее в моделях кадастровой оценки.</w:t>
      </w:r>
    </w:p>
    <w:p w:rsidR="00E85D42" w:rsidRDefault="008113B9">
      <w:pPr>
        <w:ind w:firstLine="540"/>
        <w:jc w:val="both"/>
        <w:rPr>
          <w:sz w:val="24"/>
        </w:rPr>
      </w:pPr>
      <w:r>
        <w:rPr>
          <w:sz w:val="24"/>
        </w:rPr>
        <w:t xml:space="preserve">При определении кадастровой стоимости используются методы массовой оценки, при которых осуществляется </w:t>
      </w:r>
      <w:r>
        <w:rPr>
          <w:sz w:val="24"/>
        </w:rPr>
        <w:t>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 в отношении об</w:t>
      </w:r>
      <w:r>
        <w:rPr>
          <w:sz w:val="24"/>
        </w:rPr>
        <w:t>ъектов недвижимости на основе таких подходов к оценке как: сравнительный, затратный, доходный. Определение кадастровой стоимости объектов недвижимости осуществляется на базе построения моделей оценки с использованием одного из подходов: сравнительного, зат</w:t>
      </w:r>
      <w:r>
        <w:rPr>
          <w:sz w:val="24"/>
        </w:rPr>
        <w:t>ратного и доходного.</w:t>
      </w:r>
    </w:p>
    <w:p w:rsidR="00E85D42" w:rsidRDefault="008113B9">
      <w:pPr>
        <w:ind w:firstLine="540"/>
        <w:jc w:val="both"/>
        <w:rPr>
          <w:sz w:val="24"/>
        </w:rPr>
      </w:pPr>
      <w:r>
        <w:rPr>
          <w:sz w:val="24"/>
        </w:rPr>
        <w:t xml:space="preserve">Методами моделирования кадастровой стоимости (методами массовой оценки) являются: </w:t>
      </w:r>
    </w:p>
    <w:p w:rsidR="00E85D42" w:rsidRDefault="008113B9">
      <w:pPr>
        <w:ind w:firstLine="540"/>
        <w:jc w:val="both"/>
        <w:rPr>
          <w:sz w:val="24"/>
        </w:rPr>
      </w:pPr>
      <w:r>
        <w:rPr>
          <w:sz w:val="24"/>
        </w:rPr>
        <w:t xml:space="preserve">-метод статистического (регрессионного) моделирования; </w:t>
      </w:r>
    </w:p>
    <w:p w:rsidR="00E85D42" w:rsidRDefault="008113B9">
      <w:pPr>
        <w:ind w:firstLine="540"/>
        <w:jc w:val="both"/>
        <w:rPr>
          <w:sz w:val="24"/>
        </w:rPr>
      </w:pPr>
      <w:r>
        <w:rPr>
          <w:sz w:val="24"/>
        </w:rPr>
        <w:t xml:space="preserve">-метод типового (эталонного) объекта недвижимости; </w:t>
      </w:r>
    </w:p>
    <w:p w:rsidR="00E85D42" w:rsidRDefault="008113B9">
      <w:pPr>
        <w:ind w:firstLine="540"/>
        <w:jc w:val="both"/>
        <w:rPr>
          <w:sz w:val="24"/>
        </w:rPr>
      </w:pPr>
      <w:r>
        <w:rPr>
          <w:sz w:val="24"/>
        </w:rPr>
        <w:t>-метод моделирования на основе удельных пока</w:t>
      </w:r>
      <w:r>
        <w:rPr>
          <w:sz w:val="24"/>
        </w:rPr>
        <w:t xml:space="preserve">зателей кадастровой стоимости (УПКС) и другие. </w:t>
      </w:r>
    </w:p>
    <w:p w:rsidR="00E85D42" w:rsidRDefault="008113B9">
      <w:pPr>
        <w:ind w:firstLine="540"/>
        <w:jc w:val="both"/>
        <w:rPr>
          <w:sz w:val="24"/>
        </w:rPr>
      </w:pPr>
      <w:r>
        <w:rPr>
          <w:sz w:val="24"/>
        </w:rPr>
        <w:t>Метод статистического (регрессионного) моделирования основан на построении статистической модели оценки. Под статистической моделью оценки понимается математическая формула, отображающая связь между зависимой</w:t>
      </w:r>
      <w:r>
        <w:rPr>
          <w:sz w:val="24"/>
        </w:rPr>
        <w:t xml:space="preserve"> переменной (кадастровая стоимость) и значениями независимых переменных (ценообразующие факторы объектов недвижимости). Метод статистического (регрессионного) моделирования применяется при достаточной для построения статистической модели оценки кадастровой</w:t>
      </w:r>
      <w:r>
        <w:rPr>
          <w:sz w:val="24"/>
        </w:rPr>
        <w:t xml:space="preserve"> стоимости рыночной информации для группы (подгруппы) объектов недвижимости.</w:t>
      </w:r>
    </w:p>
    <w:p w:rsidR="00E85D42" w:rsidRDefault="008113B9">
      <w:pPr>
        <w:ind w:firstLine="539"/>
        <w:jc w:val="both"/>
        <w:rPr>
          <w:sz w:val="24"/>
        </w:rPr>
      </w:pPr>
      <w:r>
        <w:rPr>
          <w:sz w:val="24"/>
        </w:rPr>
        <w:t>Метод типового (эталонного) объекта недвижимости применяется при отсутствии достаточной для построения статистической модели оценки кадастровой стоимости (далее - статистическая м</w:t>
      </w:r>
      <w:r>
        <w:rPr>
          <w:sz w:val="24"/>
        </w:rPr>
        <w:t>одель) рыночной информации для группы (подгруппы) объектов недвижимости. 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w:t>
      </w:r>
      <w:r>
        <w:rPr>
          <w:sz w:val="24"/>
        </w:rPr>
        <w:t>тировки, учитывающие отличие ценообразующих характеристик объекта недвижимости от типового (эталонного) объекта недвижимости.</w:t>
      </w:r>
    </w:p>
    <w:p w:rsidR="00E85D42" w:rsidRDefault="008113B9">
      <w:pPr>
        <w:ind w:firstLine="539"/>
        <w:jc w:val="both"/>
        <w:rPr>
          <w:sz w:val="24"/>
        </w:rPr>
      </w:pPr>
      <w:r>
        <w:rPr>
          <w:sz w:val="24"/>
        </w:rPr>
        <w:t>Метод моделирования на основе УПКС применяется в случаях, когда отсутствует возможность применения метода статистического (регресс</w:t>
      </w:r>
      <w:r>
        <w:rPr>
          <w:sz w:val="24"/>
        </w:rPr>
        <w:t xml:space="preserve">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w:t>
      </w:r>
      <w:r>
        <w:rPr>
          <w:sz w:val="24"/>
        </w:rPr>
        <w:t>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w:t>
      </w:r>
      <w:r>
        <w:rPr>
          <w:sz w:val="24"/>
        </w:rPr>
        <w:t>о объекта недвижимости.</w:t>
      </w:r>
    </w:p>
    <w:p w:rsidR="00E85D42" w:rsidRDefault="00E85D42">
      <w:pPr>
        <w:ind w:firstLine="539"/>
        <w:jc w:val="both"/>
        <w:rPr>
          <w:sz w:val="24"/>
        </w:rPr>
      </w:pPr>
    </w:p>
    <w:p w:rsidR="00E85D42" w:rsidRDefault="008113B9">
      <w:pPr>
        <w:ind w:firstLine="539"/>
        <w:jc w:val="both"/>
        <w:rPr>
          <w:sz w:val="24"/>
        </w:rPr>
      </w:pPr>
      <w:r>
        <w:rPr>
          <w:sz w:val="24"/>
        </w:rPr>
        <w:t xml:space="preserve">При определении кадастровой стоимости, все объекты недвижимости, подлежащие государственной кадастровой оценке на основании анализа информации о рынке объектов недвижимости и методических указаний, группируются на основные </w:t>
      </w:r>
      <w:r>
        <w:rPr>
          <w:sz w:val="24"/>
        </w:rPr>
        <w:t>сегменты.</w:t>
      </w:r>
    </w:p>
    <w:p w:rsidR="00E85D42" w:rsidRDefault="008113B9">
      <w:pPr>
        <w:ind w:firstLine="539"/>
        <w:jc w:val="both"/>
        <w:rPr>
          <w:sz w:val="24"/>
        </w:rPr>
      </w:pPr>
      <w:r>
        <w:rPr>
          <w:sz w:val="24"/>
        </w:rPr>
        <w:t>При определении кадастровой стоимости объектов недвижимости используются методы массовой оценки, при невозможности применения методов массовой оценки определение кадастровой стоимости осуществляется индивидуально.</w:t>
      </w:r>
    </w:p>
    <w:p w:rsidR="00E85D42" w:rsidRDefault="008113B9">
      <w:pPr>
        <w:ind w:firstLine="539"/>
        <w:jc w:val="both"/>
        <w:rPr>
          <w:sz w:val="24"/>
        </w:rPr>
      </w:pPr>
      <w:r>
        <w:rPr>
          <w:sz w:val="24"/>
        </w:rPr>
        <w:t>Модель оценки как в массовой оце</w:t>
      </w:r>
      <w:r>
        <w:rPr>
          <w:sz w:val="24"/>
        </w:rPr>
        <w:t xml:space="preserve">нке, так и в индивидуальном расчете может строиться на методологии затратного, сравнительного и доходного подходов к оценке стоимости объектов недвижимости. </w:t>
      </w:r>
    </w:p>
    <w:p w:rsidR="00E85D42" w:rsidRDefault="008113B9">
      <w:pPr>
        <w:ind w:firstLine="539"/>
        <w:jc w:val="both"/>
        <w:rPr>
          <w:sz w:val="24"/>
        </w:rPr>
      </w:pPr>
      <w:r>
        <w:rPr>
          <w:sz w:val="24"/>
        </w:rPr>
        <w:t>Выбор модели оценки кадастровой стоимости осуществляется на основании результатов анализа информац</w:t>
      </w:r>
      <w:r>
        <w:rPr>
          <w:sz w:val="24"/>
        </w:rPr>
        <w:t>ии о рынке объектов недвижимости, с ориентацией на сложившиеся сегменты рынка недвижимости, состава ценообразующих факторов и сведений о значениях ценообразующих факторов, особенностей вида разрешенного использования, назначения объектов недвижимости, груп</w:t>
      </w:r>
      <w:r>
        <w:rPr>
          <w:sz w:val="24"/>
        </w:rPr>
        <w:t>пировки объектов недвижимости на основе сегментации.</w:t>
      </w:r>
    </w:p>
    <w:p w:rsidR="00E85D42" w:rsidRDefault="008113B9">
      <w:pPr>
        <w:ind w:firstLine="539"/>
        <w:jc w:val="both"/>
        <w:rPr>
          <w:sz w:val="24"/>
        </w:rPr>
      </w:pPr>
      <w:r>
        <w:rPr>
          <w:sz w:val="24"/>
        </w:rPr>
        <w:t>При выборе модели оценки рассматривается характер рынка недвижимости, развитость либо не развитость сегмента рынка. Кроме того, модель оценки зависит от количества объектов недвижимости, подлежащих госуд</w:t>
      </w:r>
      <w:r>
        <w:rPr>
          <w:sz w:val="24"/>
        </w:rPr>
        <w:t>арственной кадастровой оценке, входящих в один сегмент и объединенных в одну группу на основе схожести их характеристик, определенных в разрезе ценообразующих факторов.</w:t>
      </w:r>
    </w:p>
    <w:p w:rsidR="00E85D42" w:rsidRDefault="008113B9">
      <w:pPr>
        <w:ind w:firstLine="539"/>
        <w:jc w:val="both"/>
        <w:rPr>
          <w:sz w:val="24"/>
        </w:rPr>
      </w:pPr>
      <w:r>
        <w:rPr>
          <w:sz w:val="24"/>
        </w:rPr>
        <w:t>В результате анализа рынка недвижимости Республики Башкортостан проведено определение с</w:t>
      </w:r>
      <w:r>
        <w:rPr>
          <w:sz w:val="24"/>
        </w:rPr>
        <w:t>остава ценообразующих факторов земельных участков для каждой группы земельных участков и осуществлено построение моделей расчета    кадастровой стоимости земельных участков каждой сформированной группы.  Удельный показатель кадастровой стоимости определялс</w:t>
      </w:r>
      <w:r>
        <w:rPr>
          <w:sz w:val="24"/>
        </w:rPr>
        <w:t>я путем подстановки значений, отобранных ценообразующих факторов, соответствующих объекту оценки, в наиболее качественную статистически значимую модель оценки.</w:t>
      </w:r>
    </w:p>
    <w:p w:rsidR="00E85D42" w:rsidRDefault="00E85D42">
      <w:pPr>
        <w:ind w:firstLine="539"/>
        <w:jc w:val="both"/>
        <w:rPr>
          <w:sz w:val="24"/>
        </w:rPr>
      </w:pPr>
    </w:p>
    <w:p w:rsidR="00E85D42" w:rsidRDefault="008113B9">
      <w:pPr>
        <w:ind w:firstLine="539"/>
        <w:jc w:val="both"/>
        <w:rPr>
          <w:sz w:val="24"/>
        </w:rPr>
      </w:pPr>
      <w:r>
        <w:rPr>
          <w:sz w:val="24"/>
        </w:rPr>
        <w:t>Таким образом, на основании вышеизложенного методы расчета массовой и индивидуальной оценки при</w:t>
      </w:r>
      <w:r>
        <w:rPr>
          <w:sz w:val="24"/>
        </w:rPr>
        <w:t>менялись для сегментов с кодами вида использования:</w:t>
      </w:r>
    </w:p>
    <w:p w:rsidR="00E85D42" w:rsidRDefault="008113B9">
      <w:pPr>
        <w:ind w:firstLine="539"/>
        <w:jc w:val="right"/>
        <w:rPr>
          <w:sz w:val="24"/>
        </w:rPr>
      </w:pPr>
      <w:r>
        <w:rPr>
          <w:sz w:val="24"/>
        </w:rPr>
        <w:t xml:space="preserve"> Таблица 3.1.8.1</w:t>
      </w:r>
    </w:p>
    <w:tbl>
      <w:tblPr>
        <w:tblW w:w="5000" w:type="pct"/>
        <w:tblCellMar>
          <w:left w:w="10" w:type="dxa"/>
          <w:right w:w="10" w:type="dxa"/>
        </w:tblCellMar>
        <w:tblLook w:val="04A0" w:firstRow="1" w:lastRow="0" w:firstColumn="1" w:lastColumn="0" w:noHBand="0" w:noVBand="1"/>
      </w:tblPr>
      <w:tblGrid>
        <w:gridCol w:w="2944"/>
        <w:gridCol w:w="2267"/>
        <w:gridCol w:w="2267"/>
        <w:gridCol w:w="2236"/>
      </w:tblGrid>
      <w:tr w:rsidR="00E85D42">
        <w:tblPrEx>
          <w:tblCellMar>
            <w:top w:w="0" w:type="dxa"/>
            <w:bottom w:w="0" w:type="dxa"/>
          </w:tblCellMar>
        </w:tblPrEx>
        <w:trPr>
          <w:trHeight w:val="510"/>
          <w:tblHeader/>
        </w:trPr>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Сегмент</w:t>
            </w:r>
          </w:p>
        </w:tc>
        <w:tc>
          <w:tcPr>
            <w:tcW w:w="226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Код расчета вида использования</w:t>
            </w:r>
          </w:p>
        </w:tc>
        <w:tc>
          <w:tcPr>
            <w:tcW w:w="226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Метод расчета</w:t>
            </w:r>
          </w:p>
        </w:tc>
        <w:tc>
          <w:tcPr>
            <w:tcW w:w="223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Обоснование выбора метода расчета</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1. СЕГМЕНТ Сельскохозяйственное использование</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01:032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01:041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01:042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01:050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01:051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01:052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01:053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01:054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01:060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01:070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01:080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01:081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01:082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01:083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01:084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01:085</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01:086</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01:141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01:142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01:160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01:170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01:171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02:012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02:015</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02:022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02:033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 xml:space="preserve">2. СЕГМЕНТ </w:t>
            </w:r>
            <w:r>
              <w:rPr>
                <w:b/>
                <w:bCs/>
                <w:color w:val="000000"/>
              </w:rPr>
              <w:t>Жилая застройка среднеэтажная и многоэтажная</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02:050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02:051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02:060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02:061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9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3. СЕГМЕНТ Общественное использование</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01:143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465"/>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9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03:013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03:022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03:023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03:032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03:033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03:034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03:035</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03:041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03:042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03:050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03:051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03:052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03:060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03:061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03:062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03:065</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03:070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03:071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03:072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03:073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03:080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03:081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03:082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03:083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03:090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03:091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03:092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03:100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03:101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03:102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03:103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03:104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05:012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05:051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07:022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08:022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08:041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09:030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4. СЕГМЕНТ Предпринимательство</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01:183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02:017</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02:053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02:063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03:063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03:064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04:050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04:060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04:080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04:081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04:082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04:083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04:084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04:096</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04:100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05:013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05:050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5. СЕГМЕНТ Отдых рекреация</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04:070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04:097</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05:014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05:022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09:021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09:023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6. СЕГМЕНТ Производственная деятельность</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01:087</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01:088</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01:090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01:091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01:092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01:101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01:102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000000"/>
              </w:rPr>
              <w:t>01:111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01:112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01:122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01:132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01:150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01:172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01:180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01:181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01:182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03:012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03:093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04:095</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04:098</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04:099</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06:012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06:013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06:014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06:050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06:060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06:070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06:071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06:072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06:073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06:074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06:080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06:090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06:091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06:092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06:093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06:100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06:101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06:110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06:111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07:012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07:013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07:014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07:015</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07:032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07:041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07:042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07:050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07:051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08:012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08:013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10:011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10:012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12:001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7. СЕГМЕНТ Транспорт</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02:071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04:090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04:091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04:092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04:093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04:094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07:023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07:024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8. СЕГМЕНТ Обеспечение обороны и безопасности</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9. СЕГМЕНТ Охраняемые природные территории и благоустройство</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02:016</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02:032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02:052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02:062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05:031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09:000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09:010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09:020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09:022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12:002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12:003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13:022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13:032</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 xml:space="preserve">10. СЕГМЕНТ </w:t>
            </w:r>
            <w:r>
              <w:rPr>
                <w:b/>
                <w:bCs/>
                <w:color w:val="000000"/>
              </w:rPr>
              <w:t>Использование лесов</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10:040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11. СЕГМЕНТ Водные объекты</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 xml:space="preserve">12. СЕГМЕНТ Специальное, ритуальное использование, </w:t>
            </w:r>
            <w:r>
              <w:rPr>
                <w:b/>
                <w:bCs/>
                <w:color w:val="000000"/>
              </w:rPr>
              <w:t>запас</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08:011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индивидуальный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13. СЕГМЕНТ Садоводческое, огородническое и дачное использование, малоэтажная жилая застройка</w:t>
            </w: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02:010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02:013</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02:014</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02:020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02:030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02:031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13:000</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13:011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13:021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29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rPr>
            </w:pPr>
          </w:p>
        </w:tc>
        <w:tc>
          <w:tcPr>
            <w:tcW w:w="226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13:031</w:t>
            </w:r>
          </w:p>
        </w:tc>
        <w:tc>
          <w:tcPr>
            <w:tcW w:w="226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массовый</w:t>
            </w:r>
          </w:p>
        </w:tc>
        <w:tc>
          <w:tcPr>
            <w:tcW w:w="2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w:t>
            </w:r>
          </w:p>
        </w:tc>
      </w:tr>
      <w:tr w:rsidR="00E85D42">
        <w:tblPrEx>
          <w:tblCellMar>
            <w:top w:w="0" w:type="dxa"/>
            <w:bottom w:w="0" w:type="dxa"/>
          </w:tblCellMar>
        </w:tblPrEx>
        <w:trPr>
          <w:trHeight w:val="300"/>
        </w:trPr>
        <w:tc>
          <w:tcPr>
            <w:tcW w:w="97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b/>
                <w:bCs/>
                <w:color w:val="000000"/>
              </w:rPr>
            </w:pPr>
            <w:r>
              <w:rPr>
                <w:b/>
                <w:bCs/>
                <w:color w:val="000000"/>
              </w:rPr>
              <w:t>Примечания:</w:t>
            </w:r>
          </w:p>
        </w:tc>
      </w:tr>
      <w:tr w:rsidR="00E85D42">
        <w:tblPrEx>
          <w:tblCellMar>
            <w:top w:w="0" w:type="dxa"/>
            <w:bottom w:w="0" w:type="dxa"/>
          </w:tblCellMar>
        </w:tblPrEx>
        <w:trPr>
          <w:trHeight w:val="1346"/>
        </w:trPr>
        <w:tc>
          <w:tcPr>
            <w:tcW w:w="97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1. Невозможность расчета</w:t>
            </w:r>
            <w:r>
              <w:rPr>
                <w:color w:val="000000"/>
              </w:rPr>
              <w:t xml:space="preserve">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 Определение кадастровой стоимости особо сложных объектов, обладающих индивиду</w:t>
            </w:r>
            <w:r>
              <w:rPr>
                <w:color w:val="000000"/>
              </w:rPr>
              <w:t>альными характеристиками. Нецелесообразность расчета с применением моделирования стоимости ввиду небольшого количества объектов оценки.</w:t>
            </w:r>
          </w:p>
        </w:tc>
      </w:tr>
      <w:tr w:rsidR="00E85D42">
        <w:tblPrEx>
          <w:tblCellMar>
            <w:top w:w="0" w:type="dxa"/>
            <w:bottom w:w="0" w:type="dxa"/>
          </w:tblCellMar>
        </w:tblPrEx>
        <w:trPr>
          <w:trHeight w:val="713"/>
        </w:trPr>
        <w:tc>
          <w:tcPr>
            <w:tcW w:w="97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2. Возможность расчета  с применением моделирования стоимости, в том числе статистической обработки объектов, в силу до</w:t>
            </w:r>
            <w:r>
              <w:rPr>
                <w:color w:val="000000"/>
              </w:rPr>
              <w:t>статочного количества информации о рынке (сегменте рынка) объектов недвижимости.</w:t>
            </w:r>
          </w:p>
        </w:tc>
      </w:tr>
      <w:tr w:rsidR="00E85D42">
        <w:tblPrEx>
          <w:tblCellMar>
            <w:top w:w="0" w:type="dxa"/>
            <w:bottom w:w="0" w:type="dxa"/>
          </w:tblCellMar>
        </w:tblPrEx>
        <w:trPr>
          <w:trHeight w:val="80"/>
        </w:trPr>
        <w:tc>
          <w:tcPr>
            <w:tcW w:w="97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3. Альтернативный метод, предусмотренный МУ на основе удельных показателей кадастровой стоимости граничащих объектов.</w:t>
            </w:r>
          </w:p>
        </w:tc>
      </w:tr>
    </w:tbl>
    <w:p w:rsidR="00E85D42" w:rsidRDefault="00E85D42">
      <w:pPr>
        <w:ind w:firstLine="539"/>
        <w:jc w:val="right"/>
        <w:rPr>
          <w:sz w:val="24"/>
        </w:rPr>
      </w:pPr>
    </w:p>
    <w:p w:rsidR="00E85D42" w:rsidRDefault="008113B9">
      <w:pPr>
        <w:ind w:firstLine="567"/>
        <w:jc w:val="both"/>
        <w:rPr>
          <w:sz w:val="24"/>
          <w:szCs w:val="24"/>
        </w:rPr>
      </w:pPr>
      <w:r>
        <w:rPr>
          <w:sz w:val="24"/>
          <w:szCs w:val="24"/>
        </w:rPr>
        <w:t xml:space="preserve">Таблица с указанием методов расчета кадастровой </w:t>
      </w:r>
      <w:r>
        <w:rPr>
          <w:sz w:val="24"/>
          <w:szCs w:val="24"/>
        </w:rPr>
        <w:t>стоимости оцениваемых объектов представлена в Приложении № 2 «Обоснование использованных при определении кадастровой стоимости моделей».</w:t>
      </w:r>
    </w:p>
    <w:p w:rsidR="00E85D42" w:rsidRDefault="008113B9">
      <w:pPr>
        <w:keepNext/>
        <w:ind w:firstLine="576"/>
        <w:outlineLvl w:val="1"/>
        <w:rPr>
          <w:b/>
          <w:sz w:val="24"/>
        </w:rPr>
      </w:pPr>
      <w:bookmarkStart w:id="127" w:name="_Toc11934892"/>
      <w:r>
        <w:rPr>
          <w:b/>
          <w:sz w:val="24"/>
        </w:rPr>
        <w:t>3.2. Описание и обоснование подходов к выбору типового объекта недвижимости в целях проведения оценочного зонирования</w:t>
      </w:r>
      <w:bookmarkEnd w:id="127"/>
    </w:p>
    <w:p w:rsidR="00E85D42" w:rsidRDefault="008113B9">
      <w:pPr>
        <w:spacing w:line="276" w:lineRule="auto"/>
        <w:ind w:firstLine="567"/>
        <w:jc w:val="both"/>
        <w:rPr>
          <w:sz w:val="24"/>
          <w:szCs w:val="24"/>
        </w:rPr>
      </w:pPr>
      <w:r>
        <w:rPr>
          <w:sz w:val="24"/>
          <w:szCs w:val="24"/>
        </w:rPr>
        <w:t>В</w:t>
      </w:r>
      <w:r>
        <w:rPr>
          <w:sz w:val="24"/>
          <w:szCs w:val="24"/>
        </w:rPr>
        <w:t xml:space="preserve"> соответствии с п. 6.1 на основании собранной рыночной информации проводится оценочное зонирование, предусматривающее разделение территории, на которой проводится государственная кадастровая оценка, на ценовые зоны. </w:t>
      </w:r>
    </w:p>
    <w:p w:rsidR="00E85D42" w:rsidRDefault="008113B9">
      <w:pPr>
        <w:spacing w:line="276" w:lineRule="auto"/>
        <w:ind w:firstLine="567"/>
        <w:jc w:val="both"/>
        <w:rPr>
          <w:sz w:val="24"/>
          <w:szCs w:val="24"/>
        </w:rPr>
      </w:pPr>
      <w:r>
        <w:rPr>
          <w:sz w:val="24"/>
          <w:szCs w:val="24"/>
        </w:rPr>
        <w:t xml:space="preserve">Целью оценочного зонирования является </w:t>
      </w:r>
      <w:r>
        <w:rPr>
          <w:sz w:val="24"/>
          <w:szCs w:val="24"/>
        </w:rPr>
        <w:t>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E85D42" w:rsidRDefault="008113B9">
      <w:pPr>
        <w:spacing w:line="276" w:lineRule="auto"/>
        <w:ind w:firstLine="567"/>
        <w:jc w:val="both"/>
        <w:rPr>
          <w:sz w:val="24"/>
          <w:szCs w:val="24"/>
        </w:rPr>
      </w:pPr>
      <w:r>
        <w:rPr>
          <w:sz w:val="24"/>
          <w:szCs w:val="24"/>
        </w:rPr>
        <w:t>По итогам оценочного зонирования устанавливают</w:t>
      </w:r>
      <w:r>
        <w:rPr>
          <w:sz w:val="24"/>
          <w:szCs w:val="24"/>
        </w:rPr>
        <w:t xml:space="preserve">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(земельных участков и (или) других объектов недвижимости) </w:t>
      </w:r>
      <w:r>
        <w:rPr>
          <w:sz w:val="24"/>
          <w:szCs w:val="24"/>
        </w:rPr>
        <w:t>в ценовых зонах в разрезе видов использования.</w:t>
      </w:r>
    </w:p>
    <w:p w:rsidR="00E85D42" w:rsidRDefault="008113B9">
      <w:pPr>
        <w:spacing w:line="276" w:lineRule="auto"/>
        <w:ind w:firstLine="567"/>
        <w:jc w:val="both"/>
        <w:rPr>
          <w:sz w:val="24"/>
          <w:szCs w:val="24"/>
        </w:rPr>
      </w:pPr>
      <w:r>
        <w:rPr>
          <w:sz w:val="24"/>
          <w:szCs w:val="24"/>
        </w:rPr>
        <w:t>Данные, используемые в расчетах, должны быть нанесены на картографический материал.</w:t>
      </w:r>
    </w:p>
    <w:p w:rsidR="00E85D42" w:rsidRDefault="008113B9">
      <w:pPr>
        <w:spacing w:line="276" w:lineRule="auto"/>
        <w:ind w:firstLine="567"/>
        <w:jc w:val="both"/>
        <w:rPr>
          <w:sz w:val="24"/>
          <w:szCs w:val="24"/>
        </w:rPr>
      </w:pPr>
      <w:r>
        <w:rPr>
          <w:sz w:val="24"/>
          <w:szCs w:val="24"/>
        </w:rPr>
        <w:t>В п. 6.4. Указаний определено, что ценовая зона - это часть территории, в границах которой определены близкие по значению уде</w:t>
      </w:r>
      <w:r>
        <w:rPr>
          <w:sz w:val="24"/>
          <w:szCs w:val="24"/>
        </w:rPr>
        <w:t>льные показатели средних рыночных цен типовых объектов недвижимости.</w:t>
      </w:r>
    </w:p>
    <w:p w:rsidR="00E85D42" w:rsidRDefault="008113B9">
      <w:pPr>
        <w:spacing w:line="276" w:lineRule="auto"/>
        <w:ind w:firstLine="567"/>
        <w:jc w:val="both"/>
        <w:rPr>
          <w:sz w:val="24"/>
          <w:szCs w:val="24"/>
        </w:rPr>
      </w:pPr>
      <w:r>
        <w:rPr>
          <w:sz w:val="24"/>
          <w:szCs w:val="24"/>
        </w:rPr>
        <w:t>Типовой объект недвижимости является объектом недвижимости, основные физические и иные характеристики вида использования, которого наиболее соответствуют спросу и предложению на соответст</w:t>
      </w:r>
      <w:r>
        <w:rPr>
          <w:sz w:val="24"/>
          <w:szCs w:val="24"/>
        </w:rPr>
        <w:t xml:space="preserve">вующем сегменте рынка. </w:t>
      </w:r>
    </w:p>
    <w:p w:rsidR="00E85D42" w:rsidRDefault="008113B9">
      <w:pPr>
        <w:spacing w:line="276" w:lineRule="auto"/>
        <w:ind w:firstLine="567"/>
        <w:jc w:val="both"/>
        <w:rPr>
          <w:sz w:val="24"/>
          <w:szCs w:val="24"/>
        </w:rPr>
      </w:pPr>
      <w:r>
        <w:rPr>
          <w:sz w:val="24"/>
          <w:szCs w:val="24"/>
        </w:rPr>
        <w:t>При этом, исходя из п.6.5 Указаний оценочное зонирование заключается в систематизации на дату определения кадастровой стоимости рыночной информации о сделках (предложениях) с типовыми объектами недвижимости, исходя из их местоположе</w:t>
      </w:r>
      <w:r>
        <w:rPr>
          <w:sz w:val="24"/>
          <w:szCs w:val="24"/>
        </w:rPr>
        <w:t>ния и вида использования с учетом существующего и перспективного развития, а также затрат на создание указанных объектов недвижимости.</w:t>
      </w:r>
    </w:p>
    <w:p w:rsidR="00E85D42" w:rsidRDefault="008113B9">
      <w:pPr>
        <w:spacing w:line="276" w:lineRule="auto"/>
        <w:ind w:firstLine="567"/>
        <w:jc w:val="both"/>
        <w:rPr>
          <w:sz w:val="24"/>
          <w:szCs w:val="24"/>
        </w:rPr>
      </w:pPr>
      <w:r>
        <w:rPr>
          <w:sz w:val="24"/>
          <w:szCs w:val="24"/>
        </w:rPr>
        <w:t>Отличие удельных показателей средних рыночных цен в расчете на единицу в том числе площади, объема типовых объектов, расп</w:t>
      </w:r>
      <w:r>
        <w:rPr>
          <w:sz w:val="24"/>
          <w:szCs w:val="24"/>
        </w:rPr>
        <w:t>оложенных в различных ценовых зонах, должно быть не менее 10 процентов.</w:t>
      </w:r>
    </w:p>
    <w:p w:rsidR="00E85D42" w:rsidRDefault="008113B9">
      <w:pPr>
        <w:spacing w:line="276" w:lineRule="auto"/>
        <w:ind w:firstLine="567"/>
        <w:jc w:val="both"/>
        <w:rPr>
          <w:sz w:val="24"/>
          <w:szCs w:val="24"/>
        </w:rPr>
      </w:pPr>
      <w:r>
        <w:rPr>
          <w:sz w:val="24"/>
          <w:szCs w:val="24"/>
        </w:rPr>
        <w:t>Для проведения оценочного зонирования, достаточное количество предложений о продаже земельных участков, имеется в следующих сегментах:</w:t>
      </w:r>
    </w:p>
    <w:p w:rsidR="00E85D42" w:rsidRDefault="008113B9">
      <w:pPr>
        <w:spacing w:line="276" w:lineRule="auto"/>
        <w:ind w:firstLine="567"/>
        <w:jc w:val="both"/>
        <w:rPr>
          <w:sz w:val="24"/>
          <w:szCs w:val="24"/>
        </w:rPr>
      </w:pPr>
      <w:r>
        <w:rPr>
          <w:sz w:val="24"/>
          <w:szCs w:val="24"/>
        </w:rPr>
        <w:t>- Торгово-офисная недвижимость (сегмент «Обществе</w:t>
      </w:r>
      <w:r>
        <w:rPr>
          <w:sz w:val="24"/>
          <w:szCs w:val="24"/>
        </w:rPr>
        <w:t>нное использование» и «Предпринимательство»);</w:t>
      </w:r>
    </w:p>
    <w:p w:rsidR="00E85D42" w:rsidRDefault="008113B9">
      <w:pPr>
        <w:spacing w:line="276" w:lineRule="auto"/>
        <w:ind w:firstLine="567"/>
        <w:jc w:val="both"/>
        <w:rPr>
          <w:sz w:val="24"/>
          <w:szCs w:val="24"/>
        </w:rPr>
      </w:pPr>
      <w:r>
        <w:rPr>
          <w:sz w:val="24"/>
          <w:szCs w:val="24"/>
        </w:rPr>
        <w:t>- Производственная деятельность;</w:t>
      </w:r>
    </w:p>
    <w:p w:rsidR="00E85D42" w:rsidRDefault="008113B9">
      <w:pPr>
        <w:spacing w:line="276" w:lineRule="auto"/>
        <w:ind w:firstLine="567"/>
        <w:jc w:val="both"/>
        <w:rPr>
          <w:sz w:val="24"/>
          <w:szCs w:val="24"/>
        </w:rPr>
      </w:pPr>
      <w:r>
        <w:rPr>
          <w:sz w:val="24"/>
          <w:szCs w:val="24"/>
        </w:rPr>
        <w:t>- Садоводство и огородничество, малоэтажная жилая застройка.</w:t>
      </w:r>
    </w:p>
    <w:p w:rsidR="00E85D42" w:rsidRDefault="008113B9">
      <w:pPr>
        <w:spacing w:line="276" w:lineRule="auto"/>
        <w:ind w:firstLine="567"/>
        <w:jc w:val="both"/>
        <w:rPr>
          <w:sz w:val="24"/>
          <w:szCs w:val="24"/>
        </w:rPr>
      </w:pPr>
      <w:r>
        <w:rPr>
          <w:sz w:val="24"/>
          <w:szCs w:val="24"/>
        </w:rPr>
        <w:t>Таким образом, Исполнитель пришел к выводу о полноте и достаточности, а также качеству собранной информации для пров</w:t>
      </w:r>
      <w:r>
        <w:rPr>
          <w:sz w:val="24"/>
          <w:szCs w:val="24"/>
        </w:rPr>
        <w:t>едения оценочного зонирования для данных сегментов.</w:t>
      </w:r>
    </w:p>
    <w:p w:rsidR="00E85D42" w:rsidRDefault="008113B9">
      <w:pPr>
        <w:widowControl w:val="0"/>
        <w:autoSpaceDE w:val="0"/>
        <w:spacing w:line="276" w:lineRule="auto"/>
        <w:ind w:firstLine="709"/>
        <w:jc w:val="both"/>
        <w:rPr>
          <w:rFonts w:eastAsia="Calibri"/>
          <w:sz w:val="24"/>
          <w:szCs w:val="24"/>
        </w:rPr>
      </w:pPr>
      <w:r>
        <w:rPr>
          <w:rFonts w:eastAsia="Calibri"/>
          <w:sz w:val="24"/>
          <w:szCs w:val="24"/>
        </w:rPr>
        <w:t xml:space="preserve">В соответствии с п.п.6.2 и 6.9 Указаний по результатам оценочного зонирования для предоставления информации о сложившейся ситуации на дату определения кадастровой стоимости в выше перечисленных сегментах </w:t>
      </w:r>
      <w:r>
        <w:rPr>
          <w:rFonts w:eastAsia="Calibri"/>
          <w:sz w:val="24"/>
          <w:szCs w:val="24"/>
        </w:rPr>
        <w:t>рынка недвижимости, составлены цифровые тематические карты (схемы) ценовых зон.</w:t>
      </w:r>
    </w:p>
    <w:p w:rsidR="00E85D42" w:rsidRDefault="008113B9">
      <w:pPr>
        <w:widowControl w:val="0"/>
        <w:autoSpaceDE w:val="0"/>
        <w:spacing w:line="276" w:lineRule="auto"/>
        <w:ind w:firstLine="709"/>
        <w:jc w:val="both"/>
        <w:rPr>
          <w:rFonts w:eastAsia="Calibri"/>
          <w:sz w:val="24"/>
          <w:szCs w:val="24"/>
        </w:rPr>
      </w:pPr>
      <w:r>
        <w:rPr>
          <w:rFonts w:eastAsia="Calibri"/>
          <w:sz w:val="24"/>
          <w:szCs w:val="24"/>
        </w:rPr>
        <w:t>Границы ценовых зон были установлены и описаны с помощью геоинформационной системы MapInfo.</w:t>
      </w:r>
    </w:p>
    <w:p w:rsidR="00E85D42" w:rsidRDefault="008113B9">
      <w:pPr>
        <w:ind w:firstLine="567"/>
        <w:jc w:val="center"/>
        <w:rPr>
          <w:b/>
          <w:sz w:val="24"/>
          <w:szCs w:val="24"/>
        </w:rPr>
      </w:pPr>
      <w:r>
        <w:rPr>
          <w:b/>
          <w:sz w:val="24"/>
          <w:szCs w:val="24"/>
        </w:rPr>
        <w:t>Оценочное зонирование сегмента «Общественное использование» и «Предпринимательство».</w:t>
      </w:r>
    </w:p>
    <w:p w:rsidR="00E85D42" w:rsidRDefault="008113B9">
      <w:pPr>
        <w:spacing w:line="276" w:lineRule="auto"/>
        <w:ind w:firstLine="709"/>
        <w:jc w:val="both"/>
        <w:rPr>
          <w:sz w:val="24"/>
          <w:szCs w:val="24"/>
        </w:rPr>
      </w:pPr>
      <w:r>
        <w:rPr>
          <w:sz w:val="24"/>
          <w:szCs w:val="24"/>
        </w:rPr>
        <w:t>Для проведения оценочного зонирования сегмента «Общественное использование» и «Предпринимательство» (в Республике Башкортостан было использовано 488 единиц рыночной информации).</w:t>
      </w:r>
    </w:p>
    <w:p w:rsidR="00E85D42" w:rsidRDefault="00E85D42">
      <w:pPr>
        <w:spacing w:line="276" w:lineRule="auto"/>
        <w:ind w:firstLine="709"/>
        <w:jc w:val="both"/>
        <w:rPr>
          <w:sz w:val="24"/>
          <w:szCs w:val="24"/>
        </w:rPr>
      </w:pPr>
    </w:p>
    <w:p w:rsidR="00E85D42" w:rsidRDefault="008113B9">
      <w:pPr>
        <w:spacing w:after="120" w:line="276" w:lineRule="auto"/>
        <w:ind w:firstLine="567"/>
        <w:jc w:val="both"/>
      </w:pPr>
      <w:r>
        <w:rPr>
          <w:b/>
          <w:sz w:val="24"/>
          <w:szCs w:val="24"/>
        </w:rPr>
        <w:t>Расчет рыночной стоимости типовых земельных участков.</w:t>
      </w:r>
    </w:p>
    <w:p w:rsidR="00E85D42" w:rsidRDefault="008113B9">
      <w:pPr>
        <w:ind w:firstLine="567"/>
        <w:jc w:val="both"/>
        <w:rPr>
          <w:sz w:val="24"/>
          <w:szCs w:val="24"/>
        </w:rPr>
      </w:pPr>
      <w:r>
        <w:rPr>
          <w:sz w:val="24"/>
          <w:szCs w:val="24"/>
        </w:rPr>
        <w:t>При проведении анализа</w:t>
      </w:r>
      <w:r>
        <w:rPr>
          <w:sz w:val="24"/>
          <w:szCs w:val="24"/>
        </w:rPr>
        <w:t xml:space="preserve"> рыночных цен выбран типовой объект со следующими характеристиками:</w:t>
      </w:r>
    </w:p>
    <w:p w:rsidR="00E85D42" w:rsidRDefault="008113B9">
      <w:pPr>
        <w:pStyle w:val="ab"/>
        <w:numPr>
          <w:ilvl w:val="0"/>
          <w:numId w:val="20"/>
        </w:numPr>
        <w:ind w:left="1418" w:firstLine="0"/>
        <w:jc w:val="both"/>
        <w:rPr>
          <w:sz w:val="24"/>
        </w:rPr>
      </w:pPr>
      <w:r>
        <w:rPr>
          <w:sz w:val="24"/>
        </w:rPr>
        <w:t>Тип (вид) объектов недвижимости– земельный участок.</w:t>
      </w:r>
    </w:p>
    <w:p w:rsidR="00E85D42" w:rsidRDefault="008113B9">
      <w:pPr>
        <w:pStyle w:val="ab"/>
        <w:numPr>
          <w:ilvl w:val="0"/>
          <w:numId w:val="20"/>
        </w:numPr>
        <w:ind w:left="1418" w:firstLine="0"/>
        <w:jc w:val="both"/>
        <w:rPr>
          <w:sz w:val="24"/>
        </w:rPr>
      </w:pPr>
      <w:r>
        <w:rPr>
          <w:sz w:val="24"/>
        </w:rPr>
        <w:t>Вид использования–торгово-офисное.</w:t>
      </w:r>
    </w:p>
    <w:p w:rsidR="00E85D42" w:rsidRDefault="008113B9">
      <w:pPr>
        <w:pStyle w:val="ab"/>
        <w:numPr>
          <w:ilvl w:val="0"/>
          <w:numId w:val="20"/>
        </w:numPr>
        <w:ind w:left="1418" w:firstLine="0"/>
        <w:jc w:val="both"/>
      </w:pPr>
      <w:r>
        <w:rPr>
          <w:sz w:val="24"/>
        </w:rPr>
        <w:t>Площадь–</w:t>
      </w:r>
      <w:r>
        <w:rPr>
          <w:sz w:val="24"/>
          <w:lang w:val="en-US"/>
        </w:rPr>
        <w:t xml:space="preserve"> до 1</w:t>
      </w:r>
      <w:r>
        <w:rPr>
          <w:sz w:val="24"/>
        </w:rPr>
        <w:t>0</w:t>
      </w:r>
      <w:r>
        <w:rPr>
          <w:sz w:val="24"/>
          <w:lang w:val="en-US"/>
        </w:rPr>
        <w:t>00</w:t>
      </w:r>
      <w:r>
        <w:rPr>
          <w:sz w:val="24"/>
        </w:rPr>
        <w:t xml:space="preserve"> кв. м.</w:t>
      </w:r>
    </w:p>
    <w:p w:rsidR="00E85D42" w:rsidRDefault="008113B9">
      <w:pPr>
        <w:pStyle w:val="ab"/>
        <w:numPr>
          <w:ilvl w:val="0"/>
          <w:numId w:val="20"/>
        </w:numPr>
        <w:ind w:left="1418" w:firstLine="0"/>
        <w:jc w:val="both"/>
      </w:pPr>
      <w:r>
        <w:rPr>
          <w:sz w:val="24"/>
          <w:lang w:val="en-US"/>
        </w:rPr>
        <w:t>Имущественные права - собственность</w:t>
      </w:r>
      <w:r>
        <w:rPr>
          <w:sz w:val="24"/>
        </w:rPr>
        <w:t>.</w:t>
      </w:r>
    </w:p>
    <w:p w:rsidR="00E85D42" w:rsidRDefault="008113B9">
      <w:pPr>
        <w:tabs>
          <w:tab w:val="right" w:pos="9072"/>
        </w:tabs>
        <w:spacing w:after="120" w:line="276" w:lineRule="auto"/>
        <w:ind w:firstLine="567"/>
        <w:jc w:val="both"/>
        <w:rPr>
          <w:sz w:val="24"/>
          <w:szCs w:val="24"/>
        </w:rPr>
      </w:pPr>
      <w:r>
        <w:rPr>
          <w:sz w:val="24"/>
          <w:szCs w:val="24"/>
        </w:rPr>
        <w:t xml:space="preserve">Для сопоставимости был введен ряд </w:t>
      </w:r>
      <w:r>
        <w:rPr>
          <w:sz w:val="24"/>
          <w:szCs w:val="24"/>
        </w:rPr>
        <w:t xml:space="preserve">корректирующих коэффициентов. </w:t>
      </w:r>
    </w:p>
    <w:p w:rsidR="00E85D42" w:rsidRDefault="008113B9">
      <w:pPr>
        <w:tabs>
          <w:tab w:val="left" w:pos="900"/>
        </w:tabs>
        <w:spacing w:after="120" w:line="276" w:lineRule="auto"/>
        <w:ind w:firstLine="567"/>
        <w:jc w:val="both"/>
        <w:rPr>
          <w:sz w:val="24"/>
          <w:szCs w:val="24"/>
        </w:rPr>
      </w:pPr>
      <w:r>
        <w:rPr>
          <w:sz w:val="24"/>
          <w:szCs w:val="24"/>
        </w:rPr>
        <w:t>1. Корректировка на торг.</w:t>
      </w:r>
    </w:p>
    <w:p w:rsidR="00E85D42" w:rsidRDefault="008113B9">
      <w:pPr>
        <w:tabs>
          <w:tab w:val="right" w:pos="9072"/>
        </w:tabs>
        <w:spacing w:after="120" w:line="276" w:lineRule="auto"/>
        <w:ind w:firstLine="567"/>
        <w:jc w:val="both"/>
        <w:rPr>
          <w:sz w:val="24"/>
          <w:szCs w:val="24"/>
        </w:rPr>
      </w:pPr>
      <w:r>
        <w:rPr>
          <w:sz w:val="24"/>
          <w:szCs w:val="24"/>
        </w:rPr>
        <w:t>Стоимость объектов-аналогов является ценой предложения. Реальные цены, по которым заключаются договоры, как правило, ниже цен предложения. С учетом сложившейся практики в оценке объектов недвижимости</w:t>
      </w:r>
      <w:r>
        <w:rPr>
          <w:sz w:val="24"/>
          <w:szCs w:val="24"/>
        </w:rPr>
        <w:t xml:space="preserve"> и тенденции развития рынка недвижимости в РФ применение цен предложений является неизбежным. </w:t>
      </w:r>
    </w:p>
    <w:p w:rsidR="00E85D42" w:rsidRDefault="008113B9">
      <w:pPr>
        <w:tabs>
          <w:tab w:val="right" w:pos="9072"/>
        </w:tabs>
        <w:spacing w:after="120" w:line="276" w:lineRule="auto"/>
        <w:ind w:firstLine="567"/>
        <w:jc w:val="both"/>
      </w:pPr>
      <w:r>
        <w:rPr>
          <w:sz w:val="24"/>
          <w:szCs w:val="24"/>
        </w:rPr>
        <w:t>Так как для оценочного зонирования была использована рыночная информация о застроенных и не застроенных земельных участках, корректировка на торг для единых объе</w:t>
      </w:r>
      <w:r>
        <w:rPr>
          <w:sz w:val="24"/>
          <w:szCs w:val="24"/>
        </w:rPr>
        <w:t xml:space="preserve">ктов недвижимости, согласно справочнику оценщика </w:t>
      </w:r>
      <w:r>
        <w:rPr>
          <w:rFonts w:eastAsia="Calibri"/>
          <w:sz w:val="24"/>
          <w:szCs w:val="24"/>
        </w:rPr>
        <w:t>недвижимости (Лейфер Л.А./ Справочник оценщика недвижимости - 2018. Офисно-торговая недвижимость и сходные типы объектов)</w:t>
      </w:r>
      <w:r>
        <w:rPr>
          <w:sz w:val="24"/>
          <w:szCs w:val="24"/>
        </w:rPr>
        <w:t xml:space="preserve"> была принята в размере 16,5% (коэффициент для расчета 0,835). Корректировка для не за</w:t>
      </w:r>
      <w:r>
        <w:rPr>
          <w:sz w:val="24"/>
          <w:szCs w:val="24"/>
        </w:rPr>
        <w:t xml:space="preserve">строенных земельных участков, согласно справочнику оценщика </w:t>
      </w:r>
      <w:r>
        <w:rPr>
          <w:rFonts w:eastAsia="Calibri"/>
          <w:sz w:val="24"/>
          <w:szCs w:val="24"/>
        </w:rPr>
        <w:t xml:space="preserve">недвижимости (Лейфер Л.А./ Справочник оценщика недвижимости - 2018. Земельные участки) </w:t>
      </w:r>
      <w:r>
        <w:rPr>
          <w:sz w:val="24"/>
          <w:szCs w:val="24"/>
        </w:rPr>
        <w:t>была принята в размере 15,7% (коэффициент для расчета 0,843), для объектов аналогов сделки по которым являютс</w:t>
      </w:r>
      <w:r>
        <w:rPr>
          <w:sz w:val="24"/>
          <w:szCs w:val="24"/>
        </w:rPr>
        <w:t>я совершенными (торги/аукционы) корректировка не проводилась.</w:t>
      </w:r>
    </w:p>
    <w:p w:rsidR="00E85D42" w:rsidRDefault="008113B9">
      <w:pPr>
        <w:tabs>
          <w:tab w:val="right" w:pos="9072"/>
        </w:tabs>
        <w:spacing w:after="120" w:line="276" w:lineRule="auto"/>
        <w:jc w:val="center"/>
        <w:rPr>
          <w:rFonts w:eastAsia="Calibri"/>
          <w:i/>
          <w:u w:val="single"/>
        </w:rPr>
      </w:pPr>
      <w:r>
        <w:rPr>
          <w:rFonts w:eastAsia="Calibri"/>
          <w:i/>
          <w:u w:val="single"/>
        </w:rPr>
        <w:t>Таблица 3.2.1. Лейфер Л.А. Справочник оценщика недвижимости - 2018. Офисно-торговая недвижимость и сходные типы объектов</w:t>
      </w:r>
    </w:p>
    <w:p w:rsidR="00E85D42" w:rsidRDefault="008113B9">
      <w:pPr>
        <w:tabs>
          <w:tab w:val="right" w:pos="9072"/>
        </w:tabs>
        <w:spacing w:after="120" w:line="276" w:lineRule="auto"/>
        <w:jc w:val="center"/>
      </w:pPr>
      <w:r>
        <w:rPr>
          <w:noProof/>
        </w:rPr>
        <w:drawing>
          <wp:inline distT="0" distB="0" distL="0" distR="0">
            <wp:extent cx="2528251" cy="2185223"/>
            <wp:effectExtent l="0" t="0" r="5399" b="5527"/>
            <wp:docPr id="115" name="Рисунок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rcRect l="44647" t="18330" r="26785" b="37772"/>
                    <a:stretch>
                      <a:fillRect/>
                    </a:stretch>
                  </pic:blipFill>
                  <pic:spPr>
                    <a:xfrm>
                      <a:off x="0" y="0"/>
                      <a:ext cx="2528251" cy="2185223"/>
                    </a:xfrm>
                    <a:prstGeom prst="rect">
                      <a:avLst/>
                    </a:prstGeom>
                    <a:noFill/>
                    <a:ln>
                      <a:noFill/>
                      <a:prstDash/>
                    </a:ln>
                  </pic:spPr>
                </pic:pic>
              </a:graphicData>
            </a:graphic>
          </wp:inline>
        </w:drawing>
      </w:r>
    </w:p>
    <w:p w:rsidR="00E85D42" w:rsidRDefault="008113B9">
      <w:pPr>
        <w:tabs>
          <w:tab w:val="right" w:pos="9072"/>
        </w:tabs>
        <w:spacing w:after="120" w:line="276" w:lineRule="auto"/>
        <w:jc w:val="right"/>
        <w:rPr>
          <w:rFonts w:eastAsia="Calibri"/>
          <w:i/>
        </w:rPr>
      </w:pPr>
      <w:r>
        <w:rPr>
          <w:rFonts w:eastAsia="Calibri"/>
          <w:i/>
        </w:rPr>
        <w:t>Таблица 3.2.2. Лейфер Л.А. Справочник оценщика недвижимости - 2018. Зем</w:t>
      </w:r>
      <w:r>
        <w:rPr>
          <w:rFonts w:eastAsia="Calibri"/>
          <w:i/>
        </w:rPr>
        <w:t>ельные участки</w:t>
      </w:r>
    </w:p>
    <w:p w:rsidR="00E85D42" w:rsidRDefault="008113B9">
      <w:pPr>
        <w:tabs>
          <w:tab w:val="right" w:pos="9072"/>
        </w:tabs>
        <w:spacing w:after="120" w:line="276" w:lineRule="auto"/>
        <w:jc w:val="center"/>
      </w:pPr>
      <w:r>
        <w:rPr>
          <w:noProof/>
        </w:rPr>
        <w:drawing>
          <wp:inline distT="0" distB="0" distL="0" distR="0">
            <wp:extent cx="2912162" cy="2552904"/>
            <wp:effectExtent l="0" t="0" r="2488" b="0"/>
            <wp:docPr id="116"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rcRect b="40751"/>
                    <a:stretch>
                      <a:fillRect/>
                    </a:stretch>
                  </pic:blipFill>
                  <pic:spPr>
                    <a:xfrm>
                      <a:off x="0" y="0"/>
                      <a:ext cx="2912162" cy="2552904"/>
                    </a:xfrm>
                    <a:prstGeom prst="rect">
                      <a:avLst/>
                    </a:prstGeom>
                    <a:noFill/>
                    <a:ln>
                      <a:noFill/>
                      <a:prstDash/>
                    </a:ln>
                  </pic:spPr>
                </pic:pic>
              </a:graphicData>
            </a:graphic>
          </wp:inline>
        </w:drawing>
      </w:r>
    </w:p>
    <w:p w:rsidR="00E85D42" w:rsidRDefault="008113B9">
      <w:pPr>
        <w:tabs>
          <w:tab w:val="right" w:pos="9072"/>
        </w:tabs>
        <w:spacing w:after="120" w:line="276" w:lineRule="auto"/>
        <w:ind w:firstLine="709"/>
        <w:jc w:val="both"/>
        <w:rPr>
          <w:sz w:val="24"/>
          <w:szCs w:val="24"/>
        </w:rPr>
      </w:pPr>
      <w:r>
        <w:rPr>
          <w:sz w:val="24"/>
          <w:szCs w:val="24"/>
        </w:rPr>
        <w:t>2. Корректировка на долю стоимости земельного участка в стоимости единого объекта недвижимости.</w:t>
      </w:r>
    </w:p>
    <w:p w:rsidR="00E85D42" w:rsidRDefault="008113B9">
      <w:pPr>
        <w:tabs>
          <w:tab w:val="right" w:pos="9072"/>
        </w:tabs>
        <w:spacing w:after="120" w:line="276" w:lineRule="auto"/>
        <w:ind w:firstLine="709"/>
        <w:jc w:val="both"/>
        <w:rPr>
          <w:sz w:val="24"/>
          <w:szCs w:val="24"/>
        </w:rPr>
      </w:pPr>
      <w:r>
        <w:rPr>
          <w:sz w:val="24"/>
          <w:szCs w:val="24"/>
        </w:rPr>
        <w:t xml:space="preserve">В качестве исходных данных использовались рыночные цены застроенных и не застроенных земельных участков. Доля стоимости земельного участка в </w:t>
      </w:r>
      <w:r>
        <w:rPr>
          <w:sz w:val="24"/>
          <w:szCs w:val="24"/>
        </w:rPr>
        <w:t>стоимости единого объекта недвижимости определялась в соответствии с Методическими указаниями о государственной кадастровой оценке, утвержденными Приказом Минэкономразвития России от 12 мая 2017 года № 226, и принята в размере 22,5% от стоимости единого об</w:t>
      </w:r>
      <w:r>
        <w:rPr>
          <w:sz w:val="24"/>
          <w:szCs w:val="24"/>
        </w:rPr>
        <w:t xml:space="preserve">ъекта недвижимости, согласно которому доля стоимости земельного участка составляет 20-25% (для торговых объектов) от общей стоимости единого объекта недвижимости и в размере 20,0% от стоимости единого объекта недвижимости, согласно которому доля стоимости </w:t>
      </w:r>
      <w:r>
        <w:rPr>
          <w:sz w:val="24"/>
          <w:szCs w:val="24"/>
        </w:rPr>
        <w:t>земельного участка составляет 15-25% (для офисных объектов) от общей стоимости единого объекта недвижимости. Корректировка для застроенных земельных участков принята как среднее значение – 22,5%  от стоимости предложения/сделки (коэффициент для расчета 0,2</w:t>
      </w:r>
      <w:r>
        <w:rPr>
          <w:sz w:val="24"/>
          <w:szCs w:val="24"/>
        </w:rPr>
        <w:t>25) (для торговых объектов) и 20% от стоимости предложения/сделки (коэффициент для расчета 0,20) (для офисных объектов), для свободных земельных участков корректировка не проводилась.</w:t>
      </w:r>
    </w:p>
    <w:p w:rsidR="00E85D42" w:rsidRDefault="00E85D42">
      <w:pPr>
        <w:tabs>
          <w:tab w:val="right" w:pos="9072"/>
        </w:tabs>
        <w:spacing w:after="120" w:line="276" w:lineRule="auto"/>
        <w:ind w:firstLine="709"/>
        <w:jc w:val="right"/>
        <w:rPr>
          <w:i/>
        </w:rPr>
      </w:pPr>
    </w:p>
    <w:p w:rsidR="00E85D42" w:rsidRDefault="008113B9">
      <w:pPr>
        <w:tabs>
          <w:tab w:val="right" w:pos="9072"/>
        </w:tabs>
        <w:spacing w:after="120" w:line="276" w:lineRule="auto"/>
        <w:ind w:firstLine="709"/>
        <w:jc w:val="right"/>
        <w:rPr>
          <w:i/>
        </w:rPr>
      </w:pPr>
      <w:r>
        <w:rPr>
          <w:i/>
        </w:rPr>
        <w:t>Таблица 3.2.3. Методические указания о государственной кадастровой оцен</w:t>
      </w:r>
      <w:r>
        <w:rPr>
          <w:i/>
        </w:rPr>
        <w:t>ке, утвержденные Приказом Минэкономразвития России от 12 мая 2017 года № 226</w:t>
      </w:r>
    </w:p>
    <w:p w:rsidR="00E85D42" w:rsidRDefault="008113B9">
      <w:pPr>
        <w:tabs>
          <w:tab w:val="right" w:pos="9072"/>
        </w:tabs>
        <w:spacing w:after="120" w:line="276" w:lineRule="auto"/>
        <w:ind w:firstLine="709"/>
        <w:jc w:val="center"/>
      </w:pPr>
      <w:r>
        <w:rPr>
          <w:noProof/>
        </w:rPr>
        <w:drawing>
          <wp:inline distT="0" distB="0" distL="0" distR="0">
            <wp:extent cx="3233839" cy="3375699"/>
            <wp:effectExtent l="0" t="0" r="4661" b="0"/>
            <wp:docPr id="117"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rcRect t="2620" b="11128"/>
                    <a:stretch>
                      <a:fillRect/>
                    </a:stretch>
                  </pic:blipFill>
                  <pic:spPr>
                    <a:xfrm>
                      <a:off x="0" y="0"/>
                      <a:ext cx="3233839" cy="3375699"/>
                    </a:xfrm>
                    <a:prstGeom prst="rect">
                      <a:avLst/>
                    </a:prstGeom>
                    <a:noFill/>
                    <a:ln>
                      <a:noFill/>
                      <a:prstDash/>
                    </a:ln>
                  </pic:spPr>
                </pic:pic>
              </a:graphicData>
            </a:graphic>
          </wp:inline>
        </w:drawing>
      </w:r>
    </w:p>
    <w:p w:rsidR="00E85D42" w:rsidRDefault="00E85D42">
      <w:pPr>
        <w:tabs>
          <w:tab w:val="right" w:pos="9072"/>
        </w:tabs>
        <w:spacing w:after="120" w:line="276" w:lineRule="auto"/>
        <w:ind w:firstLine="709"/>
        <w:jc w:val="both"/>
        <w:rPr>
          <w:sz w:val="24"/>
          <w:szCs w:val="24"/>
        </w:rPr>
      </w:pPr>
    </w:p>
    <w:p w:rsidR="00E85D42" w:rsidRDefault="008113B9">
      <w:pPr>
        <w:tabs>
          <w:tab w:val="right" w:pos="9072"/>
        </w:tabs>
        <w:spacing w:after="120" w:line="276" w:lineRule="auto"/>
        <w:ind w:firstLine="709"/>
        <w:jc w:val="both"/>
        <w:rPr>
          <w:sz w:val="24"/>
          <w:szCs w:val="24"/>
        </w:rPr>
      </w:pPr>
      <w:r>
        <w:rPr>
          <w:sz w:val="24"/>
          <w:szCs w:val="24"/>
        </w:rPr>
        <w:t>3. Корректировка на передаваемые имущественные права.</w:t>
      </w:r>
    </w:p>
    <w:p w:rsidR="00E85D42" w:rsidRDefault="008113B9">
      <w:pPr>
        <w:tabs>
          <w:tab w:val="right" w:pos="9072"/>
        </w:tabs>
        <w:spacing w:after="120" w:line="276" w:lineRule="auto"/>
        <w:ind w:firstLine="709"/>
        <w:jc w:val="both"/>
        <w:rPr>
          <w:sz w:val="24"/>
          <w:szCs w:val="24"/>
        </w:rPr>
      </w:pPr>
      <w:r>
        <w:rPr>
          <w:sz w:val="24"/>
          <w:szCs w:val="24"/>
        </w:rPr>
        <w:t xml:space="preserve">Правовой статус объекта недвижимости играет ключевую роль в установлении его стоимости. Введение тех или иных ограничений </w:t>
      </w:r>
      <w:r>
        <w:rPr>
          <w:sz w:val="24"/>
          <w:szCs w:val="24"/>
        </w:rPr>
        <w:t xml:space="preserve">на право собственности объективно снижает стоимость объекта недвижимости, а, следовательно, и цену продажи. </w:t>
      </w:r>
    </w:p>
    <w:p w:rsidR="00E85D42" w:rsidRDefault="008113B9">
      <w:pPr>
        <w:tabs>
          <w:tab w:val="right" w:pos="9072"/>
        </w:tabs>
        <w:spacing w:after="120" w:line="276" w:lineRule="auto"/>
        <w:ind w:firstLine="709"/>
        <w:jc w:val="both"/>
        <w:rPr>
          <w:rFonts w:eastAsia="Calibri"/>
          <w:sz w:val="24"/>
          <w:szCs w:val="24"/>
        </w:rPr>
      </w:pPr>
      <w:r>
        <w:rPr>
          <w:rFonts w:eastAsia="Calibri"/>
          <w:sz w:val="24"/>
          <w:szCs w:val="24"/>
        </w:rPr>
        <w:t>Корректировка принята в соответствии с данными специализированного справочника оценщика недвижимости (Лейфер Л.А./ Справочник оценщика недвижимости</w:t>
      </w:r>
      <w:r>
        <w:rPr>
          <w:rFonts w:eastAsia="Calibri"/>
          <w:sz w:val="24"/>
          <w:szCs w:val="24"/>
        </w:rPr>
        <w:t xml:space="preserve"> - 2018. Земельные участки). Отношение цены земельных участков под торгово-офисную застройку в долгосрочной аренде к удельной цене аналогичных участков в собственности составляет 0,85. Корректировка для объектов аналогов находящихся в аренде составила 1/0,</w:t>
      </w:r>
      <w:r>
        <w:rPr>
          <w:rFonts w:eastAsia="Calibri"/>
          <w:sz w:val="24"/>
          <w:szCs w:val="24"/>
        </w:rPr>
        <w:t>85 = 1,177. Корректировка для объектов аналогов в собственности не проводилась.</w:t>
      </w:r>
    </w:p>
    <w:p w:rsidR="00E85D42" w:rsidRDefault="008113B9">
      <w:pPr>
        <w:tabs>
          <w:tab w:val="right" w:pos="9072"/>
        </w:tabs>
        <w:spacing w:after="120" w:line="276" w:lineRule="auto"/>
        <w:jc w:val="center"/>
        <w:rPr>
          <w:rFonts w:eastAsia="Calibri"/>
          <w:i/>
        </w:rPr>
      </w:pPr>
      <w:r>
        <w:rPr>
          <w:rFonts w:eastAsia="Calibri"/>
          <w:i/>
        </w:rPr>
        <w:t>Таблица 3.2.4. Лейфер Л.А. Справочник оценщика недвижимости - 2018. Земельные участки</w:t>
      </w:r>
    </w:p>
    <w:p w:rsidR="00E85D42" w:rsidRDefault="00E85D42">
      <w:pPr>
        <w:tabs>
          <w:tab w:val="right" w:pos="9072"/>
        </w:tabs>
        <w:spacing w:after="120" w:line="276" w:lineRule="auto"/>
        <w:jc w:val="center"/>
        <w:rPr>
          <w:rFonts w:eastAsia="Calibri"/>
        </w:rPr>
      </w:pPr>
    </w:p>
    <w:p w:rsidR="00E85D42" w:rsidRDefault="008113B9">
      <w:pPr>
        <w:tabs>
          <w:tab w:val="right" w:pos="9072"/>
        </w:tabs>
        <w:spacing w:after="120" w:line="276" w:lineRule="auto"/>
        <w:jc w:val="center"/>
      </w:pPr>
      <w:r>
        <w:rPr>
          <w:noProof/>
        </w:rPr>
        <w:drawing>
          <wp:inline distT="0" distB="0" distL="0" distR="0">
            <wp:extent cx="3199421" cy="1064571"/>
            <wp:effectExtent l="0" t="0" r="979" b="2229"/>
            <wp:docPr id="118" name="Рисунок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rcRect l="28802" t="13530" r="44788" b="70847"/>
                    <a:stretch>
                      <a:fillRect/>
                    </a:stretch>
                  </pic:blipFill>
                  <pic:spPr>
                    <a:xfrm>
                      <a:off x="0" y="0"/>
                      <a:ext cx="3199421" cy="1064571"/>
                    </a:xfrm>
                    <a:prstGeom prst="rect">
                      <a:avLst/>
                    </a:prstGeom>
                    <a:noFill/>
                    <a:ln>
                      <a:noFill/>
                      <a:prstDash/>
                    </a:ln>
                  </pic:spPr>
                </pic:pic>
              </a:graphicData>
            </a:graphic>
          </wp:inline>
        </w:drawing>
      </w:r>
    </w:p>
    <w:p w:rsidR="00E85D42" w:rsidRDefault="008113B9">
      <w:pPr>
        <w:tabs>
          <w:tab w:val="right" w:pos="9072"/>
        </w:tabs>
        <w:spacing w:after="120" w:line="276" w:lineRule="auto"/>
        <w:jc w:val="center"/>
      </w:pPr>
      <w:r>
        <w:rPr>
          <w:noProof/>
        </w:rPr>
        <w:drawing>
          <wp:inline distT="0" distB="0" distL="0" distR="0">
            <wp:extent cx="3199421" cy="1318802"/>
            <wp:effectExtent l="0" t="0" r="979" b="0"/>
            <wp:docPr id="119" name="Рисунок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rcRect l="28802" t="52005" r="44788" b="28641"/>
                    <a:stretch>
                      <a:fillRect/>
                    </a:stretch>
                  </pic:blipFill>
                  <pic:spPr>
                    <a:xfrm>
                      <a:off x="0" y="0"/>
                      <a:ext cx="3199421" cy="1318802"/>
                    </a:xfrm>
                    <a:prstGeom prst="rect">
                      <a:avLst/>
                    </a:prstGeom>
                    <a:noFill/>
                    <a:ln>
                      <a:noFill/>
                      <a:prstDash/>
                    </a:ln>
                  </pic:spPr>
                </pic:pic>
              </a:graphicData>
            </a:graphic>
          </wp:inline>
        </w:drawing>
      </w:r>
    </w:p>
    <w:p w:rsidR="00E85D42" w:rsidRDefault="00E85D42">
      <w:pPr>
        <w:tabs>
          <w:tab w:val="right" w:pos="9072"/>
        </w:tabs>
        <w:spacing w:after="120" w:line="276" w:lineRule="auto"/>
        <w:ind w:firstLine="709"/>
        <w:jc w:val="both"/>
        <w:rPr>
          <w:rFonts w:eastAsia="Calibri"/>
          <w:sz w:val="24"/>
          <w:szCs w:val="24"/>
        </w:rPr>
      </w:pPr>
    </w:p>
    <w:p w:rsidR="00E85D42" w:rsidRDefault="008113B9">
      <w:pPr>
        <w:tabs>
          <w:tab w:val="right" w:pos="9072"/>
        </w:tabs>
        <w:spacing w:after="120" w:line="276" w:lineRule="auto"/>
        <w:ind w:firstLine="709"/>
        <w:jc w:val="both"/>
      </w:pPr>
      <w:r>
        <w:rPr>
          <w:rFonts w:eastAsia="Calibri"/>
          <w:sz w:val="24"/>
          <w:szCs w:val="24"/>
        </w:rPr>
        <w:t>4. Корректировка на площадь.</w:t>
      </w:r>
    </w:p>
    <w:p w:rsidR="00E85D42" w:rsidRDefault="008113B9">
      <w:pPr>
        <w:tabs>
          <w:tab w:val="right" w:pos="9072"/>
        </w:tabs>
        <w:spacing w:after="120" w:line="276" w:lineRule="auto"/>
        <w:ind w:firstLine="709"/>
        <w:jc w:val="both"/>
      </w:pPr>
      <w:r>
        <w:rPr>
          <w:rFonts w:eastAsia="Calibri"/>
          <w:sz w:val="24"/>
          <w:szCs w:val="24"/>
        </w:rPr>
        <w:t>Корректировка принята в соответствии с данными специали</w:t>
      </w:r>
      <w:r>
        <w:rPr>
          <w:rFonts w:eastAsia="Calibri"/>
          <w:sz w:val="24"/>
          <w:szCs w:val="24"/>
        </w:rPr>
        <w:t xml:space="preserve">зированного справочника оценщика недвижимости (Лейфер Л.А./ Справочник оценщика недвижимости - 2018. Земельные участки). </w:t>
      </w:r>
    </w:p>
    <w:p w:rsidR="00E85D42" w:rsidRDefault="008113B9">
      <w:pPr>
        <w:tabs>
          <w:tab w:val="right" w:pos="9072"/>
        </w:tabs>
        <w:spacing w:after="120" w:line="276" w:lineRule="auto"/>
        <w:jc w:val="right"/>
      </w:pPr>
      <w:r>
        <w:rPr>
          <w:rFonts w:eastAsia="Calibri"/>
          <w:i/>
        </w:rPr>
        <w:t>Таблица 3.2.5. Лейфер Л.А. Справочник оценщика недвижимости - 2018. Земельные участки</w:t>
      </w:r>
    </w:p>
    <w:p w:rsidR="00E85D42" w:rsidRDefault="008113B9">
      <w:pPr>
        <w:tabs>
          <w:tab w:val="right" w:pos="9072"/>
        </w:tabs>
        <w:spacing w:after="120" w:line="276" w:lineRule="auto"/>
        <w:jc w:val="center"/>
      </w:pPr>
      <w:r>
        <w:rPr>
          <w:noProof/>
          <w:sz w:val="24"/>
          <w:szCs w:val="24"/>
        </w:rPr>
        <w:drawing>
          <wp:inline distT="0" distB="0" distL="0" distR="0">
            <wp:extent cx="4063136" cy="1510552"/>
            <wp:effectExtent l="0" t="0" r="0" b="0"/>
            <wp:docPr id="120" name="Рисунок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rcRect l="32170" t="64040" r="45986" b="21515"/>
                    <a:stretch>
                      <a:fillRect/>
                    </a:stretch>
                  </pic:blipFill>
                  <pic:spPr>
                    <a:xfrm>
                      <a:off x="0" y="0"/>
                      <a:ext cx="4063136" cy="1510552"/>
                    </a:xfrm>
                    <a:prstGeom prst="rect">
                      <a:avLst/>
                    </a:prstGeom>
                    <a:noFill/>
                    <a:ln>
                      <a:noFill/>
                      <a:prstDash/>
                    </a:ln>
                  </pic:spPr>
                </pic:pic>
              </a:graphicData>
            </a:graphic>
          </wp:inline>
        </w:drawing>
      </w:r>
    </w:p>
    <w:p w:rsidR="00E85D42" w:rsidRDefault="00E85D42">
      <w:pPr>
        <w:spacing w:line="276" w:lineRule="auto"/>
        <w:ind w:firstLine="709"/>
        <w:jc w:val="both"/>
        <w:rPr>
          <w:sz w:val="24"/>
          <w:szCs w:val="24"/>
        </w:rPr>
      </w:pPr>
    </w:p>
    <w:p w:rsidR="00E85D42" w:rsidRDefault="008113B9">
      <w:pPr>
        <w:ind w:firstLine="709"/>
        <w:jc w:val="both"/>
        <w:rPr>
          <w:sz w:val="24"/>
          <w:szCs w:val="24"/>
        </w:rPr>
      </w:pPr>
      <w:r>
        <w:rPr>
          <w:sz w:val="24"/>
          <w:szCs w:val="24"/>
        </w:rPr>
        <w:t>В следующей таблице приведены значения минима</w:t>
      </w:r>
      <w:r>
        <w:rPr>
          <w:sz w:val="24"/>
          <w:szCs w:val="24"/>
        </w:rPr>
        <w:t>льных, максимальных и средних удельных рыночных цен по муниципальным образованиям.</w:t>
      </w:r>
    </w:p>
    <w:p w:rsidR="00E85D42" w:rsidRDefault="008113B9">
      <w:pPr>
        <w:ind w:firstLine="720"/>
        <w:jc w:val="right"/>
      </w:pPr>
      <w:r>
        <w:rPr>
          <w:rFonts w:eastAsia="Calibri"/>
          <w:i/>
        </w:rPr>
        <w:t>Таблица 3.2.6 Диапазон и средние удельные рыночных цены по муниципальным образованиям.</w:t>
      </w:r>
    </w:p>
    <w:tbl>
      <w:tblPr>
        <w:tblW w:w="9060" w:type="dxa"/>
        <w:tblInd w:w="113" w:type="dxa"/>
        <w:tblCellMar>
          <w:left w:w="10" w:type="dxa"/>
          <w:right w:w="10" w:type="dxa"/>
        </w:tblCellMar>
        <w:tblLook w:val="04A0" w:firstRow="1" w:lastRow="0" w:firstColumn="1" w:lastColumn="0" w:noHBand="0" w:noVBand="1"/>
      </w:tblPr>
      <w:tblGrid>
        <w:gridCol w:w="4080"/>
        <w:gridCol w:w="1660"/>
        <w:gridCol w:w="1660"/>
        <w:gridCol w:w="1660"/>
      </w:tblGrid>
      <w:tr w:rsidR="00E85D42">
        <w:tblPrEx>
          <w:tblCellMar>
            <w:top w:w="0" w:type="dxa"/>
            <w:bottom w:w="0" w:type="dxa"/>
          </w:tblCellMar>
        </w:tblPrEx>
        <w:trPr>
          <w:trHeight w:val="900"/>
          <w:tblHeader/>
        </w:trPr>
        <w:tc>
          <w:tcPr>
            <w:tcW w:w="40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Муниципальный район или городской округ</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Минимальная стоимость, руб,/кв,м,</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 xml:space="preserve">Средняя </w:t>
            </w:r>
            <w:r>
              <w:rPr>
                <w:color w:val="000000"/>
                <w:sz w:val="22"/>
                <w:szCs w:val="22"/>
              </w:rPr>
              <w:t>стоимость, руб./кв.м.</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Максимальная стоимость, руб./кв.м.</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Агидель</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542</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1750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3747</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Кумертау</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2576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10413</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ЗАТО Межгорье</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1993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1993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1993</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Нефтекамск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4996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13249</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Октябрьский</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783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5373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25568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Салават</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3909</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9212</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Сибай</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446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4113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11056</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Стерлитамак</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5154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30507</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Уфа</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9710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80518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Абзелиловский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366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1129</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2147</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Альшеевский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650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980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1686</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Архангельский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1725</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3255</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Аскинский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585</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630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675</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Аургазинский муниципальный район</w:t>
            </w:r>
          </w:p>
        </w:tc>
        <w:tc>
          <w:tcPr>
            <w:tcW w:w="498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Баймакский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944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1883</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Бакалинский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5560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5560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5560</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Балтачевский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411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920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1428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Белебеевский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72</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5217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22608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Белокатайский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637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22608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Белорецкий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1916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6318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Бижбулякский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3701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3701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3701</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Бирский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620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3913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8880</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Благоварский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3105</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 xml:space="preserve">Благовещенский </w:t>
            </w:r>
            <w:r>
              <w:rPr>
                <w:color w:val="000000"/>
                <w:sz w:val="22"/>
                <w:szCs w:val="22"/>
              </w:rPr>
              <w:t>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2157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6147</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Буздякский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367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367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367</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Бураевский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214</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Бурзянский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610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610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610</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Гафурийский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1501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3096</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Давлекановский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2841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8729</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Дуванский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1219</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4743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10406</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Дюртюлинский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1823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6328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Ермекеевский муниципальный район</w:t>
            </w:r>
          </w:p>
        </w:tc>
        <w:tc>
          <w:tcPr>
            <w:tcW w:w="498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Зианчуринский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1049</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1174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1300</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Зилаирский муниципальный район</w:t>
            </w:r>
          </w:p>
        </w:tc>
        <w:tc>
          <w:tcPr>
            <w:tcW w:w="498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 xml:space="preserve">предложения </w:t>
            </w:r>
            <w:r>
              <w:rPr>
                <w:color w:val="000000"/>
                <w:sz w:val="22"/>
                <w:szCs w:val="22"/>
              </w:rPr>
              <w:t>отсутствуют</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Иглинский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1621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5183</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Илишевский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1603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3661</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Ишимбайский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175</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912</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2456</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Калтасинский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428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451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474</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Караидельский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2583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5109</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Кармаскалинский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1117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4063</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Кигинский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896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1916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2936</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Краснокамский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1245</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2841</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Кугарчинский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4434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4526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4617</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Кушнаренковский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2122</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7833</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Куюргазинский</w:t>
            </w:r>
            <w:r>
              <w:rPr>
                <w:color w:val="000000"/>
                <w:sz w:val="22"/>
                <w:szCs w:val="22"/>
              </w:rPr>
              <w:t xml:space="preserve">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3159</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3159</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3159</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Мелеузовский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2972</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10793</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Мечетлинский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579</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606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633</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Мишкинский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1580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3141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6915</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Миякинский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456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1400</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Нуримановский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705</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2067</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Салаватский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3664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3664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3664</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Стерлибашевский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1188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1188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1188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Стерлитамакский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576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1926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5991</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Татышлинский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1018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1716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2414</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Туймазинский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89</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2982</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11398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Уфимский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2416</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8564</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Учалинский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354</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628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Федоровский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4008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4008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4008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Хайбуллинский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2003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3761</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4935</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Чекмагушевский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488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488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488</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 xml:space="preserve">Чишминский </w:t>
            </w:r>
            <w:r>
              <w:rPr>
                <w:color w:val="000000"/>
                <w:sz w:val="22"/>
                <w:szCs w:val="22"/>
              </w:rPr>
              <w:t>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483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2392</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5901</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Шаранский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865</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865</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865</w:t>
            </w:r>
          </w:p>
        </w:tc>
      </w:tr>
      <w:tr w:rsidR="00E85D42">
        <w:tblPrEx>
          <w:tblCellMar>
            <w:top w:w="0" w:type="dxa"/>
            <w:bottom w:w="0" w:type="dxa"/>
          </w:tblCellMar>
        </w:tblPrEx>
        <w:trPr>
          <w:trHeight w:val="300"/>
        </w:trPr>
        <w:tc>
          <w:tcPr>
            <w:tcW w:w="4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Янаульский муниципальный район</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273</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1892</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7120</w:t>
            </w:r>
          </w:p>
        </w:tc>
      </w:tr>
    </w:tbl>
    <w:p w:rsidR="00E85D42" w:rsidRDefault="00E85D42">
      <w:pPr>
        <w:spacing w:line="276" w:lineRule="auto"/>
        <w:ind w:firstLine="720"/>
        <w:jc w:val="both"/>
        <w:rPr>
          <w:sz w:val="24"/>
          <w:szCs w:val="24"/>
        </w:rPr>
      </w:pPr>
    </w:p>
    <w:p w:rsidR="00E85D42" w:rsidRDefault="008113B9">
      <w:pPr>
        <w:spacing w:line="276" w:lineRule="auto"/>
        <w:ind w:firstLine="720"/>
        <w:jc w:val="both"/>
        <w:rPr>
          <w:sz w:val="24"/>
          <w:szCs w:val="24"/>
        </w:rPr>
      </w:pPr>
      <w:r>
        <w:rPr>
          <w:sz w:val="24"/>
          <w:szCs w:val="24"/>
        </w:rPr>
        <w:t xml:space="preserve">Общий диапазон средних удельных цен, ограничен значениями 214 и 9710 руб. за кв. м (с учетом допустимого округления). </w:t>
      </w:r>
    </w:p>
    <w:p w:rsidR="00E85D42" w:rsidRDefault="008113B9">
      <w:pPr>
        <w:spacing w:before="120" w:line="276" w:lineRule="auto"/>
        <w:ind w:firstLine="720"/>
        <w:jc w:val="both"/>
        <w:rPr>
          <w:sz w:val="24"/>
          <w:szCs w:val="24"/>
        </w:rPr>
      </w:pPr>
      <w:r>
        <w:rPr>
          <w:sz w:val="24"/>
          <w:szCs w:val="24"/>
        </w:rPr>
        <w:t>На следующем</w:t>
      </w:r>
      <w:r>
        <w:rPr>
          <w:sz w:val="24"/>
          <w:szCs w:val="24"/>
        </w:rPr>
        <w:t xml:space="preserve"> рисунке представлена частотная диаграмма распределения средних удельных цен. Каждый столбец диаграммы показывает долю средних цен, приходящихся на соответствующий ценовой диапазон. </w:t>
      </w:r>
    </w:p>
    <w:p w:rsidR="00E85D42" w:rsidRDefault="00E85D42">
      <w:pPr>
        <w:spacing w:before="120"/>
        <w:ind w:firstLine="720"/>
        <w:jc w:val="right"/>
        <w:rPr>
          <w:rFonts w:eastAsia="TimesNewRomanPSMT"/>
          <w:i/>
        </w:rPr>
      </w:pPr>
    </w:p>
    <w:p w:rsidR="00E85D42" w:rsidRDefault="008113B9">
      <w:pPr>
        <w:spacing w:before="120"/>
        <w:ind w:firstLine="720"/>
        <w:jc w:val="right"/>
      </w:pPr>
      <w:r>
        <w:rPr>
          <w:rFonts w:eastAsia="TimesNewRomanPSMT"/>
          <w:i/>
        </w:rPr>
        <w:t>Диаграмма 3.2.1. Распределение средних удельных цен.</w:t>
      </w:r>
    </w:p>
    <w:p w:rsidR="00E85D42" w:rsidRDefault="008113B9">
      <w:pPr>
        <w:spacing w:line="254" w:lineRule="auto"/>
        <w:jc w:val="center"/>
      </w:pPr>
      <w:r>
        <w:rPr>
          <w:noProof/>
        </w:rPr>
        <w:drawing>
          <wp:inline distT="0" distB="0" distL="0" distR="0">
            <wp:extent cx="4572000" cy="2743200"/>
            <wp:effectExtent l="0" t="0" r="0" b="0"/>
            <wp:docPr id="121"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E85D42" w:rsidRDefault="00E85D42">
      <w:pPr>
        <w:spacing w:line="254" w:lineRule="auto"/>
        <w:jc w:val="right"/>
        <w:rPr>
          <w:rFonts w:eastAsia="TimesNewRomanPSMT"/>
          <w:i/>
        </w:rPr>
      </w:pPr>
    </w:p>
    <w:p w:rsidR="00E85D42" w:rsidRDefault="008113B9">
      <w:pPr>
        <w:spacing w:line="276" w:lineRule="auto"/>
        <w:ind w:firstLine="720"/>
        <w:jc w:val="both"/>
      </w:pPr>
      <w:r>
        <w:rPr>
          <w:sz w:val="24"/>
          <w:szCs w:val="24"/>
        </w:rPr>
        <w:t>Было построено 5</w:t>
      </w:r>
      <w:r>
        <w:rPr>
          <w:sz w:val="24"/>
          <w:szCs w:val="24"/>
        </w:rPr>
        <w:t xml:space="preserve"> ценовых интервалов. Минимальные, максимальные и средние удельные цены для каждой ценовой зоны приведены в следующей таблице.</w:t>
      </w:r>
    </w:p>
    <w:p w:rsidR="00E85D42" w:rsidRDefault="00E85D42">
      <w:pPr>
        <w:spacing w:line="254" w:lineRule="auto"/>
        <w:jc w:val="right"/>
        <w:rPr>
          <w:rFonts w:eastAsia="TimesNewRomanPSMT"/>
          <w:i/>
        </w:rPr>
      </w:pPr>
    </w:p>
    <w:p w:rsidR="00E85D42" w:rsidRDefault="008113B9">
      <w:pPr>
        <w:spacing w:line="254" w:lineRule="auto"/>
        <w:jc w:val="right"/>
      </w:pPr>
      <w:r>
        <w:rPr>
          <w:rFonts w:eastAsia="TimesNewRomanPSMT"/>
          <w:i/>
        </w:rPr>
        <w:t xml:space="preserve">Таблица 3.2.7 Минимальные, максимальные и средние цены в ценовых зонах для земельных участков </w:t>
      </w:r>
      <w:r>
        <w:rPr>
          <w:i/>
        </w:rPr>
        <w:t>производственной деятельности</w:t>
      </w:r>
    </w:p>
    <w:tbl>
      <w:tblPr>
        <w:tblW w:w="5000" w:type="pct"/>
        <w:tblCellMar>
          <w:left w:w="10" w:type="dxa"/>
          <w:right w:w="10" w:type="dxa"/>
        </w:tblCellMar>
        <w:tblLook w:val="04A0" w:firstRow="1" w:lastRow="0" w:firstColumn="1" w:lastColumn="0" w:noHBand="0" w:noVBand="1"/>
      </w:tblPr>
      <w:tblGrid>
        <w:gridCol w:w="2428"/>
        <w:gridCol w:w="2428"/>
        <w:gridCol w:w="2429"/>
        <w:gridCol w:w="2429"/>
      </w:tblGrid>
      <w:tr w:rsidR="00E85D42">
        <w:tblPrEx>
          <w:tblCellMar>
            <w:top w:w="0" w:type="dxa"/>
            <w:bottom w:w="0" w:type="dxa"/>
          </w:tblCellMar>
        </w:tblPrEx>
        <w:trPr>
          <w:trHeight w:val="355"/>
        </w:trPr>
        <w:tc>
          <w:tcPr>
            <w:tcW w:w="24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Ценов</w:t>
            </w:r>
            <w:r>
              <w:rPr>
                <w:color w:val="000000"/>
                <w:sz w:val="22"/>
                <w:szCs w:val="22"/>
              </w:rPr>
              <w:t>ая зона</w:t>
            </w:r>
          </w:p>
        </w:tc>
        <w:tc>
          <w:tcPr>
            <w:tcW w:w="2428"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Минимальная цена</w:t>
            </w:r>
          </w:p>
        </w:tc>
        <w:tc>
          <w:tcPr>
            <w:tcW w:w="2429"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Максимальная цена</w:t>
            </w:r>
          </w:p>
        </w:tc>
        <w:tc>
          <w:tcPr>
            <w:tcW w:w="2429"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Средняя цена</w:t>
            </w:r>
          </w:p>
        </w:tc>
      </w:tr>
      <w:tr w:rsidR="00E85D42">
        <w:tblPrEx>
          <w:tblCellMar>
            <w:top w:w="0" w:type="dxa"/>
            <w:bottom w:w="0" w:type="dxa"/>
          </w:tblCellMar>
        </w:tblPrEx>
        <w:trPr>
          <w:trHeight w:val="315"/>
        </w:trPr>
        <w:tc>
          <w:tcPr>
            <w:tcW w:w="24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 зона</w:t>
            </w:r>
          </w:p>
        </w:tc>
        <w:tc>
          <w:tcPr>
            <w:tcW w:w="2428"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4740</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9710</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7225</w:t>
            </w:r>
          </w:p>
        </w:tc>
      </w:tr>
      <w:tr w:rsidR="00E85D42">
        <w:tblPrEx>
          <w:tblCellMar>
            <w:top w:w="0" w:type="dxa"/>
            <w:bottom w:w="0" w:type="dxa"/>
          </w:tblCellMar>
        </w:tblPrEx>
        <w:trPr>
          <w:trHeight w:val="315"/>
        </w:trPr>
        <w:tc>
          <w:tcPr>
            <w:tcW w:w="24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 зона</w:t>
            </w:r>
          </w:p>
        </w:tc>
        <w:tc>
          <w:tcPr>
            <w:tcW w:w="2428"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2840</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4740</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3790</w:t>
            </w:r>
          </w:p>
        </w:tc>
      </w:tr>
      <w:tr w:rsidR="00E85D42">
        <w:tblPrEx>
          <w:tblCellMar>
            <w:top w:w="0" w:type="dxa"/>
            <w:bottom w:w="0" w:type="dxa"/>
          </w:tblCellMar>
        </w:tblPrEx>
        <w:trPr>
          <w:trHeight w:val="315"/>
        </w:trPr>
        <w:tc>
          <w:tcPr>
            <w:tcW w:w="24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 зона</w:t>
            </w:r>
          </w:p>
        </w:tc>
        <w:tc>
          <w:tcPr>
            <w:tcW w:w="2428"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1500</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2840</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2170</w:t>
            </w:r>
          </w:p>
        </w:tc>
      </w:tr>
      <w:tr w:rsidR="00E85D42">
        <w:tblPrEx>
          <w:tblCellMar>
            <w:top w:w="0" w:type="dxa"/>
            <w:bottom w:w="0" w:type="dxa"/>
          </w:tblCellMar>
        </w:tblPrEx>
        <w:trPr>
          <w:trHeight w:val="315"/>
        </w:trPr>
        <w:tc>
          <w:tcPr>
            <w:tcW w:w="24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 зона</w:t>
            </w:r>
          </w:p>
        </w:tc>
        <w:tc>
          <w:tcPr>
            <w:tcW w:w="2428"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860</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1500</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1180</w:t>
            </w:r>
          </w:p>
        </w:tc>
      </w:tr>
      <w:tr w:rsidR="00E85D42">
        <w:tblPrEx>
          <w:tblCellMar>
            <w:top w:w="0" w:type="dxa"/>
            <w:bottom w:w="0" w:type="dxa"/>
          </w:tblCellMar>
        </w:tblPrEx>
        <w:trPr>
          <w:trHeight w:val="315"/>
        </w:trPr>
        <w:tc>
          <w:tcPr>
            <w:tcW w:w="24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 зона</w:t>
            </w:r>
          </w:p>
        </w:tc>
        <w:tc>
          <w:tcPr>
            <w:tcW w:w="2428"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214</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860</w:t>
            </w:r>
          </w:p>
        </w:tc>
        <w:tc>
          <w:tcPr>
            <w:tcW w:w="242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537</w:t>
            </w:r>
          </w:p>
        </w:tc>
      </w:tr>
      <w:tr w:rsidR="00E85D42">
        <w:tblPrEx>
          <w:tblCellMar>
            <w:top w:w="0" w:type="dxa"/>
            <w:bottom w:w="0" w:type="dxa"/>
          </w:tblCellMar>
        </w:tblPrEx>
        <w:trPr>
          <w:trHeight w:val="315"/>
        </w:trPr>
        <w:tc>
          <w:tcPr>
            <w:tcW w:w="24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 зона</w:t>
            </w:r>
          </w:p>
        </w:tc>
        <w:tc>
          <w:tcPr>
            <w:tcW w:w="7286" w:type="dxa"/>
            <w:gridSpan w:val="3"/>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МР и ГО сделки/предложения в которых отсутствуют</w:t>
            </w:r>
          </w:p>
        </w:tc>
      </w:tr>
    </w:tbl>
    <w:p w:rsidR="00E85D42" w:rsidRDefault="00E85D42">
      <w:pPr>
        <w:spacing w:line="254" w:lineRule="auto"/>
        <w:jc w:val="right"/>
        <w:rPr>
          <w:i/>
        </w:rPr>
      </w:pPr>
    </w:p>
    <w:p w:rsidR="00E85D42" w:rsidRDefault="008113B9">
      <w:pPr>
        <w:spacing w:before="120" w:line="276" w:lineRule="auto"/>
        <w:ind w:firstLine="720"/>
        <w:jc w:val="both"/>
        <w:rPr>
          <w:sz w:val="24"/>
          <w:szCs w:val="24"/>
        </w:rPr>
      </w:pPr>
      <w:r>
        <w:rPr>
          <w:sz w:val="24"/>
          <w:szCs w:val="24"/>
        </w:rPr>
        <w:t xml:space="preserve">По результатам оценочного </w:t>
      </w:r>
      <w:r>
        <w:rPr>
          <w:sz w:val="24"/>
          <w:szCs w:val="24"/>
        </w:rPr>
        <w:t xml:space="preserve">зонирования территории Республики Башкортостан, составлена цветовая схема ценовых зон. Границы ценовых зон на данной схеме определяются изменением цветовой окраски, отвечающей каждому ценовому диапазону, как это отражено в пояснениях к диаграмме. </w:t>
      </w:r>
    </w:p>
    <w:p w:rsidR="00E85D42" w:rsidRDefault="00E85D42">
      <w:pPr>
        <w:spacing w:before="120" w:line="276" w:lineRule="auto"/>
        <w:ind w:firstLine="720"/>
        <w:jc w:val="right"/>
        <w:rPr>
          <w:rFonts w:eastAsia="Calibri"/>
          <w:i/>
        </w:rPr>
      </w:pPr>
    </w:p>
    <w:p w:rsidR="00E85D42" w:rsidRDefault="00E85D42">
      <w:pPr>
        <w:spacing w:before="120" w:line="276" w:lineRule="auto"/>
        <w:ind w:firstLine="720"/>
        <w:jc w:val="right"/>
        <w:rPr>
          <w:rFonts w:eastAsia="Calibri"/>
          <w:i/>
        </w:rPr>
      </w:pPr>
    </w:p>
    <w:p w:rsidR="00E85D42" w:rsidRDefault="00E85D42">
      <w:pPr>
        <w:spacing w:before="120" w:line="276" w:lineRule="auto"/>
        <w:ind w:firstLine="720"/>
        <w:jc w:val="right"/>
        <w:rPr>
          <w:rFonts w:eastAsia="Calibri"/>
          <w:i/>
        </w:rPr>
      </w:pPr>
    </w:p>
    <w:p w:rsidR="00E85D42" w:rsidRDefault="00E85D42">
      <w:pPr>
        <w:spacing w:before="120" w:line="276" w:lineRule="auto"/>
        <w:ind w:firstLine="720"/>
        <w:jc w:val="right"/>
        <w:rPr>
          <w:rFonts w:eastAsia="Calibri"/>
          <w:i/>
        </w:rPr>
      </w:pPr>
    </w:p>
    <w:p w:rsidR="00E85D42" w:rsidRDefault="00E85D42">
      <w:pPr>
        <w:spacing w:before="120" w:line="276" w:lineRule="auto"/>
        <w:ind w:firstLine="720"/>
        <w:jc w:val="right"/>
        <w:rPr>
          <w:rFonts w:eastAsia="Calibri"/>
          <w:i/>
        </w:rPr>
      </w:pPr>
    </w:p>
    <w:p w:rsidR="00E85D42" w:rsidRDefault="00E85D42">
      <w:pPr>
        <w:spacing w:before="120" w:line="276" w:lineRule="auto"/>
        <w:ind w:firstLine="720"/>
        <w:jc w:val="right"/>
        <w:rPr>
          <w:rFonts w:eastAsia="Calibri"/>
          <w:i/>
        </w:rPr>
      </w:pPr>
    </w:p>
    <w:p w:rsidR="00E85D42" w:rsidRDefault="008113B9">
      <w:pPr>
        <w:spacing w:before="120" w:line="276" w:lineRule="auto"/>
        <w:ind w:firstLine="720"/>
        <w:jc w:val="right"/>
      </w:pPr>
      <w:r>
        <w:rPr>
          <w:rFonts w:eastAsia="Calibri"/>
          <w:i/>
        </w:rPr>
        <w:t>Ри</w:t>
      </w:r>
      <w:r>
        <w:rPr>
          <w:rFonts w:eastAsia="Calibri"/>
          <w:i/>
        </w:rPr>
        <w:t>сунок3.2.1. Схема оценочного зонирования территории Республики Башкортостан по сегменту «Общественное использование» и «Предпринимательство».</w:t>
      </w:r>
    </w:p>
    <w:p w:rsidR="00E85D42" w:rsidRDefault="008113B9">
      <w:pPr>
        <w:tabs>
          <w:tab w:val="right" w:pos="9072"/>
        </w:tabs>
        <w:spacing w:after="120" w:line="276" w:lineRule="auto"/>
        <w:jc w:val="center"/>
      </w:pPr>
      <w:r>
        <w:rPr>
          <w:noProof/>
        </w:rPr>
        <w:drawing>
          <wp:inline distT="0" distB="0" distL="0" distR="0">
            <wp:extent cx="5753103" cy="7286625"/>
            <wp:effectExtent l="0" t="0" r="0" b="9525"/>
            <wp:docPr id="122" name="Рисунок 106" descr="Z:\!Елсукова Н.Н\!!Общественное-предпринимательство\Зонирование.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rcRect b="5087"/>
                    <a:stretch>
                      <a:fillRect/>
                    </a:stretch>
                  </pic:blipFill>
                  <pic:spPr>
                    <a:xfrm>
                      <a:off x="0" y="0"/>
                      <a:ext cx="5753103" cy="7286625"/>
                    </a:xfrm>
                    <a:prstGeom prst="rect">
                      <a:avLst/>
                    </a:prstGeom>
                    <a:noFill/>
                    <a:ln>
                      <a:noFill/>
                      <a:prstDash/>
                    </a:ln>
                  </pic:spPr>
                </pic:pic>
              </a:graphicData>
            </a:graphic>
          </wp:inline>
        </w:drawing>
      </w:r>
    </w:p>
    <w:p w:rsidR="00E85D42" w:rsidRDefault="00E85D42">
      <w:pPr>
        <w:ind w:firstLine="567"/>
        <w:rPr>
          <w:b/>
          <w:sz w:val="24"/>
          <w:szCs w:val="24"/>
        </w:rPr>
      </w:pPr>
    </w:p>
    <w:p w:rsidR="00E85D42" w:rsidRDefault="008113B9">
      <w:pPr>
        <w:ind w:firstLine="567"/>
        <w:rPr>
          <w:b/>
          <w:sz w:val="24"/>
          <w:szCs w:val="24"/>
        </w:rPr>
      </w:pPr>
      <w:r>
        <w:rPr>
          <w:b/>
          <w:sz w:val="24"/>
          <w:szCs w:val="24"/>
        </w:rPr>
        <w:t>Оценочное зонирование сегмента «Производственная деятельность».</w:t>
      </w:r>
    </w:p>
    <w:p w:rsidR="00E85D42" w:rsidRDefault="008113B9">
      <w:pPr>
        <w:spacing w:line="276" w:lineRule="auto"/>
        <w:ind w:firstLine="709"/>
        <w:jc w:val="both"/>
        <w:rPr>
          <w:sz w:val="24"/>
          <w:szCs w:val="24"/>
        </w:rPr>
      </w:pPr>
      <w:r>
        <w:rPr>
          <w:sz w:val="24"/>
          <w:szCs w:val="24"/>
        </w:rPr>
        <w:t xml:space="preserve">Для проведения оценочного зонирования Сегмента </w:t>
      </w:r>
      <w:r>
        <w:rPr>
          <w:sz w:val="24"/>
          <w:szCs w:val="24"/>
        </w:rPr>
        <w:t>«Производственная деятельность» (в Республике Башкортостан было использовано 323 единицы рыночной информации).</w:t>
      </w:r>
    </w:p>
    <w:p w:rsidR="00E85D42" w:rsidRDefault="008113B9">
      <w:pPr>
        <w:spacing w:after="120" w:line="276" w:lineRule="auto"/>
        <w:ind w:firstLine="567"/>
        <w:jc w:val="both"/>
      </w:pPr>
      <w:r>
        <w:rPr>
          <w:b/>
          <w:sz w:val="24"/>
          <w:szCs w:val="24"/>
        </w:rPr>
        <w:t>Расчет рыночной стоимости типовых земельных участков.</w:t>
      </w:r>
    </w:p>
    <w:p w:rsidR="00E85D42" w:rsidRDefault="008113B9">
      <w:pPr>
        <w:ind w:firstLine="567"/>
        <w:jc w:val="both"/>
        <w:rPr>
          <w:sz w:val="24"/>
          <w:szCs w:val="24"/>
        </w:rPr>
      </w:pPr>
      <w:r>
        <w:rPr>
          <w:sz w:val="24"/>
          <w:szCs w:val="24"/>
        </w:rPr>
        <w:t>При проведении анализа рыночных цен выбран типовой объект со следующими характеристиками:</w:t>
      </w:r>
    </w:p>
    <w:p w:rsidR="00E85D42" w:rsidRDefault="008113B9">
      <w:pPr>
        <w:pStyle w:val="ab"/>
        <w:numPr>
          <w:ilvl w:val="0"/>
          <w:numId w:val="20"/>
        </w:numPr>
        <w:ind w:left="1418" w:firstLine="0"/>
        <w:jc w:val="both"/>
        <w:rPr>
          <w:sz w:val="24"/>
        </w:rPr>
      </w:pPr>
      <w:r>
        <w:rPr>
          <w:sz w:val="24"/>
        </w:rPr>
        <w:t>Т</w:t>
      </w:r>
      <w:r>
        <w:rPr>
          <w:sz w:val="24"/>
        </w:rPr>
        <w:t>ип (вид) объектов недвижимости– земельный участок.</w:t>
      </w:r>
    </w:p>
    <w:p w:rsidR="00E85D42" w:rsidRDefault="008113B9">
      <w:pPr>
        <w:pStyle w:val="ab"/>
        <w:numPr>
          <w:ilvl w:val="0"/>
          <w:numId w:val="20"/>
        </w:numPr>
        <w:ind w:left="1418" w:firstLine="0"/>
        <w:jc w:val="both"/>
        <w:rPr>
          <w:sz w:val="24"/>
        </w:rPr>
      </w:pPr>
      <w:r>
        <w:rPr>
          <w:sz w:val="24"/>
        </w:rPr>
        <w:t>Вид использования–производственное.</w:t>
      </w:r>
    </w:p>
    <w:p w:rsidR="00E85D42" w:rsidRDefault="008113B9">
      <w:pPr>
        <w:pStyle w:val="ab"/>
        <w:numPr>
          <w:ilvl w:val="0"/>
          <w:numId w:val="20"/>
        </w:numPr>
        <w:ind w:left="1418" w:firstLine="0"/>
        <w:jc w:val="both"/>
      </w:pPr>
      <w:r>
        <w:rPr>
          <w:sz w:val="24"/>
        </w:rPr>
        <w:t>Площадь–</w:t>
      </w:r>
      <w:r>
        <w:rPr>
          <w:sz w:val="24"/>
          <w:lang w:val="en-US"/>
        </w:rPr>
        <w:t xml:space="preserve"> до 1</w:t>
      </w:r>
      <w:r>
        <w:rPr>
          <w:sz w:val="24"/>
        </w:rPr>
        <w:t>00</w:t>
      </w:r>
      <w:r>
        <w:rPr>
          <w:sz w:val="24"/>
          <w:lang w:val="en-US"/>
        </w:rPr>
        <w:t>00</w:t>
      </w:r>
      <w:r>
        <w:rPr>
          <w:sz w:val="24"/>
        </w:rPr>
        <w:t xml:space="preserve"> кв. м.</w:t>
      </w:r>
    </w:p>
    <w:p w:rsidR="00E85D42" w:rsidRDefault="008113B9">
      <w:pPr>
        <w:pStyle w:val="ab"/>
        <w:numPr>
          <w:ilvl w:val="0"/>
          <w:numId w:val="20"/>
        </w:numPr>
        <w:ind w:left="1418" w:firstLine="0"/>
        <w:jc w:val="both"/>
      </w:pPr>
      <w:r>
        <w:rPr>
          <w:sz w:val="24"/>
          <w:lang w:val="en-US"/>
        </w:rPr>
        <w:t>Имущественные права - собственность</w:t>
      </w:r>
      <w:r>
        <w:rPr>
          <w:sz w:val="24"/>
        </w:rPr>
        <w:t>.</w:t>
      </w:r>
    </w:p>
    <w:p w:rsidR="00E85D42" w:rsidRDefault="008113B9">
      <w:pPr>
        <w:tabs>
          <w:tab w:val="right" w:pos="9072"/>
        </w:tabs>
        <w:spacing w:after="120" w:line="276" w:lineRule="auto"/>
        <w:ind w:firstLine="567"/>
        <w:jc w:val="both"/>
        <w:rPr>
          <w:sz w:val="24"/>
          <w:szCs w:val="24"/>
        </w:rPr>
      </w:pPr>
      <w:r>
        <w:rPr>
          <w:sz w:val="24"/>
          <w:szCs w:val="24"/>
        </w:rPr>
        <w:t xml:space="preserve">Для сопоставимости был введен ряд корректирующих коэффициентов. </w:t>
      </w:r>
    </w:p>
    <w:p w:rsidR="00E85D42" w:rsidRDefault="008113B9">
      <w:pPr>
        <w:tabs>
          <w:tab w:val="left" w:pos="900"/>
        </w:tabs>
        <w:spacing w:after="120" w:line="276" w:lineRule="auto"/>
        <w:ind w:firstLine="567"/>
        <w:jc w:val="both"/>
        <w:rPr>
          <w:sz w:val="24"/>
          <w:szCs w:val="24"/>
        </w:rPr>
      </w:pPr>
      <w:r>
        <w:rPr>
          <w:sz w:val="24"/>
          <w:szCs w:val="24"/>
        </w:rPr>
        <w:t>1. Корректировка на торг.</w:t>
      </w:r>
    </w:p>
    <w:p w:rsidR="00E85D42" w:rsidRDefault="008113B9">
      <w:pPr>
        <w:tabs>
          <w:tab w:val="right" w:pos="9072"/>
        </w:tabs>
        <w:spacing w:after="120" w:line="276" w:lineRule="auto"/>
        <w:ind w:firstLine="567"/>
        <w:jc w:val="both"/>
      </w:pPr>
      <w:r>
        <w:rPr>
          <w:sz w:val="24"/>
          <w:szCs w:val="24"/>
        </w:rPr>
        <w:t>Так как для оцен</w:t>
      </w:r>
      <w:r>
        <w:rPr>
          <w:sz w:val="24"/>
          <w:szCs w:val="24"/>
        </w:rPr>
        <w:t xml:space="preserve">очного зонирования была использована рыночная информация о застроенных и не застроенных земельных участках, корректировка на торг для единых объектов недвижимости, согласно справочнику оценщика </w:t>
      </w:r>
      <w:r>
        <w:rPr>
          <w:rFonts w:eastAsia="Calibri"/>
          <w:sz w:val="24"/>
          <w:szCs w:val="24"/>
        </w:rPr>
        <w:t xml:space="preserve">недвижимости (Лейфер Л.А./ Справочник оценщика недвижимости - </w:t>
      </w:r>
      <w:r>
        <w:rPr>
          <w:rFonts w:eastAsia="Calibri"/>
          <w:sz w:val="24"/>
          <w:szCs w:val="24"/>
        </w:rPr>
        <w:t>2018. Производственно-складская недвижимость и сходные типы объектов)</w:t>
      </w:r>
      <w:r>
        <w:rPr>
          <w:sz w:val="24"/>
          <w:szCs w:val="24"/>
        </w:rPr>
        <w:t xml:space="preserve"> была принята в размере 17,4% (коэффициент для расчета 0,826). Корректировка для не застроенных земельных участков, согласно справочнику оценщика </w:t>
      </w:r>
      <w:r>
        <w:rPr>
          <w:rFonts w:eastAsia="Calibri"/>
          <w:sz w:val="24"/>
          <w:szCs w:val="24"/>
        </w:rPr>
        <w:t>недвижимости (Лейфер Л.А./ Справочник оце</w:t>
      </w:r>
      <w:r>
        <w:rPr>
          <w:rFonts w:eastAsia="Calibri"/>
          <w:sz w:val="24"/>
          <w:szCs w:val="24"/>
        </w:rPr>
        <w:t xml:space="preserve">нщика недвижимости - 2018. Земельные участки) </w:t>
      </w:r>
      <w:r>
        <w:rPr>
          <w:sz w:val="24"/>
          <w:szCs w:val="24"/>
        </w:rPr>
        <w:t>была принята в размере 18,0% (коэффициент для расчета 0,82), для объектов аналогов сделки по которым являются совершенными (торги/аукционы) корректировка не проводилась.</w:t>
      </w:r>
    </w:p>
    <w:p w:rsidR="00E85D42" w:rsidRDefault="008113B9">
      <w:pPr>
        <w:tabs>
          <w:tab w:val="right" w:pos="9072"/>
        </w:tabs>
        <w:spacing w:after="120" w:line="276" w:lineRule="auto"/>
        <w:jc w:val="center"/>
        <w:rPr>
          <w:rFonts w:eastAsia="Calibri"/>
          <w:i/>
          <w:u w:val="single"/>
        </w:rPr>
      </w:pPr>
      <w:r>
        <w:rPr>
          <w:rFonts w:eastAsia="Calibri"/>
          <w:i/>
          <w:u w:val="single"/>
        </w:rPr>
        <w:t xml:space="preserve">Таблица 3.2.8. Лейфер Л.А. Справочник </w:t>
      </w:r>
      <w:r>
        <w:rPr>
          <w:rFonts w:eastAsia="Calibri"/>
          <w:i/>
          <w:u w:val="single"/>
        </w:rPr>
        <w:t>оценщика недвижимости - 2018. Производственно-складская недвижимость и сходные типы объектов</w:t>
      </w:r>
    </w:p>
    <w:p w:rsidR="00E85D42" w:rsidRDefault="008113B9">
      <w:pPr>
        <w:tabs>
          <w:tab w:val="right" w:pos="9072"/>
        </w:tabs>
        <w:spacing w:after="120" w:line="276" w:lineRule="auto"/>
        <w:jc w:val="center"/>
      </w:pPr>
      <w:r>
        <w:rPr>
          <w:noProof/>
        </w:rPr>
        <w:drawing>
          <wp:inline distT="0" distB="0" distL="0" distR="0">
            <wp:extent cx="2756678" cy="2832436"/>
            <wp:effectExtent l="0" t="0" r="5572" b="6014"/>
            <wp:docPr id="123" name="Рисунок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rcRect l="45707" t="15948" r="25760" b="31930"/>
                    <a:stretch>
                      <a:fillRect/>
                    </a:stretch>
                  </pic:blipFill>
                  <pic:spPr>
                    <a:xfrm>
                      <a:off x="0" y="0"/>
                      <a:ext cx="2756678" cy="2832436"/>
                    </a:xfrm>
                    <a:prstGeom prst="rect">
                      <a:avLst/>
                    </a:prstGeom>
                    <a:noFill/>
                    <a:ln>
                      <a:noFill/>
                      <a:prstDash/>
                    </a:ln>
                  </pic:spPr>
                </pic:pic>
              </a:graphicData>
            </a:graphic>
          </wp:inline>
        </w:drawing>
      </w:r>
    </w:p>
    <w:p w:rsidR="00E85D42" w:rsidRDefault="008113B9">
      <w:pPr>
        <w:tabs>
          <w:tab w:val="right" w:pos="9072"/>
        </w:tabs>
        <w:spacing w:after="120" w:line="276" w:lineRule="auto"/>
        <w:jc w:val="right"/>
        <w:rPr>
          <w:rFonts w:eastAsia="Calibri"/>
          <w:i/>
        </w:rPr>
      </w:pPr>
      <w:r>
        <w:rPr>
          <w:rFonts w:eastAsia="Calibri"/>
          <w:i/>
        </w:rPr>
        <w:t>Таблица 3.2.9. Лейфер Л.А. Справочник оценщика недвижимости - 2018. Земельные участки</w:t>
      </w:r>
    </w:p>
    <w:p w:rsidR="00E85D42" w:rsidRDefault="008113B9">
      <w:pPr>
        <w:tabs>
          <w:tab w:val="right" w:pos="9072"/>
        </w:tabs>
        <w:spacing w:after="120" w:line="276" w:lineRule="auto"/>
        <w:jc w:val="center"/>
      </w:pPr>
      <w:r>
        <w:rPr>
          <w:noProof/>
        </w:rPr>
        <w:drawing>
          <wp:inline distT="0" distB="0" distL="0" distR="0">
            <wp:extent cx="2912162" cy="2552904"/>
            <wp:effectExtent l="0" t="0" r="2488" b="0"/>
            <wp:docPr id="12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rcRect b="40751"/>
                    <a:stretch>
                      <a:fillRect/>
                    </a:stretch>
                  </pic:blipFill>
                  <pic:spPr>
                    <a:xfrm>
                      <a:off x="0" y="0"/>
                      <a:ext cx="2912162" cy="2552904"/>
                    </a:xfrm>
                    <a:prstGeom prst="rect">
                      <a:avLst/>
                    </a:prstGeom>
                    <a:noFill/>
                    <a:ln>
                      <a:noFill/>
                      <a:prstDash/>
                    </a:ln>
                  </pic:spPr>
                </pic:pic>
              </a:graphicData>
            </a:graphic>
          </wp:inline>
        </w:drawing>
      </w:r>
    </w:p>
    <w:p w:rsidR="00E85D42" w:rsidRDefault="008113B9">
      <w:pPr>
        <w:tabs>
          <w:tab w:val="right" w:pos="9072"/>
        </w:tabs>
        <w:spacing w:after="120" w:line="276" w:lineRule="auto"/>
        <w:ind w:firstLine="709"/>
        <w:jc w:val="both"/>
        <w:rPr>
          <w:sz w:val="24"/>
          <w:szCs w:val="24"/>
        </w:rPr>
      </w:pPr>
      <w:r>
        <w:rPr>
          <w:sz w:val="24"/>
          <w:szCs w:val="24"/>
        </w:rPr>
        <w:t>2. Корректировка на долю стоимости земельного участка в стоимости единого</w:t>
      </w:r>
      <w:r>
        <w:rPr>
          <w:sz w:val="24"/>
          <w:szCs w:val="24"/>
        </w:rPr>
        <w:t xml:space="preserve"> объекта недвижимости.</w:t>
      </w:r>
    </w:p>
    <w:p w:rsidR="00E85D42" w:rsidRDefault="008113B9">
      <w:pPr>
        <w:tabs>
          <w:tab w:val="right" w:pos="9072"/>
        </w:tabs>
        <w:spacing w:after="120" w:line="276" w:lineRule="auto"/>
        <w:ind w:firstLine="709"/>
        <w:jc w:val="both"/>
        <w:rPr>
          <w:sz w:val="24"/>
          <w:szCs w:val="24"/>
        </w:rPr>
      </w:pPr>
      <w:r>
        <w:rPr>
          <w:sz w:val="24"/>
          <w:szCs w:val="24"/>
        </w:rPr>
        <w:t>В качестве исходных данных использовались рыночные цены застроенных и не застроенных земельных участков. Доля стоимости земельного участка в стоимости единого объекта недвижимости определялась в соответствии с Методическими указаниям</w:t>
      </w:r>
      <w:r>
        <w:rPr>
          <w:sz w:val="24"/>
          <w:szCs w:val="24"/>
        </w:rPr>
        <w:t xml:space="preserve">и о государственной кадастровой оценке, утвержденными Приказом Минэкономразвития России от 12 мая 2017 года № 226, и принята в размере 10,0% от стоимости единого объекта недвижимости, согласно которому доля стоимости земельного участка составляет 5-15% от </w:t>
      </w:r>
      <w:r>
        <w:rPr>
          <w:sz w:val="24"/>
          <w:szCs w:val="24"/>
        </w:rPr>
        <w:t>общей стоимости единого объекта недвижимости. Корректировка для застроенных земельных участков принята как среднее значение – 10,0% от стоимости предложения/сделки (коэффициент для расчета 0,1). Для свободных земельных участков корректировка не проводилась</w:t>
      </w:r>
      <w:r>
        <w:rPr>
          <w:sz w:val="24"/>
          <w:szCs w:val="24"/>
        </w:rPr>
        <w:t>.</w:t>
      </w:r>
    </w:p>
    <w:p w:rsidR="00E85D42" w:rsidRDefault="008113B9">
      <w:pPr>
        <w:tabs>
          <w:tab w:val="right" w:pos="9072"/>
        </w:tabs>
        <w:spacing w:after="120" w:line="276" w:lineRule="auto"/>
        <w:ind w:firstLine="709"/>
        <w:jc w:val="both"/>
        <w:rPr>
          <w:sz w:val="24"/>
          <w:szCs w:val="24"/>
        </w:rPr>
      </w:pPr>
      <w:r>
        <w:rPr>
          <w:sz w:val="24"/>
          <w:szCs w:val="24"/>
        </w:rPr>
        <w:t>3. Корректировка на передаваемые имущественные права.</w:t>
      </w:r>
    </w:p>
    <w:p w:rsidR="00E85D42" w:rsidRDefault="008113B9">
      <w:pPr>
        <w:tabs>
          <w:tab w:val="right" w:pos="9072"/>
        </w:tabs>
        <w:spacing w:after="120" w:line="276" w:lineRule="auto"/>
        <w:ind w:firstLine="709"/>
        <w:jc w:val="both"/>
        <w:rPr>
          <w:rFonts w:eastAsia="Calibri"/>
          <w:sz w:val="24"/>
          <w:szCs w:val="24"/>
        </w:rPr>
      </w:pPr>
      <w:r>
        <w:rPr>
          <w:rFonts w:eastAsia="Calibri"/>
          <w:sz w:val="24"/>
          <w:szCs w:val="24"/>
        </w:rPr>
        <w:t>Корректировка принята в соответствии с данными специализированного справочника оценщика недвижимости (Лейфер Л.А./ Справочник оценщика недвижимости - 2018. Земельные участки). Отношение цены земельных</w:t>
      </w:r>
      <w:r>
        <w:rPr>
          <w:rFonts w:eastAsia="Calibri"/>
          <w:sz w:val="24"/>
          <w:szCs w:val="24"/>
        </w:rPr>
        <w:t xml:space="preserve"> участков под индустриальную застройку в долгосрочной аренде к удельной цене аналогичных участков в собственности составляет 0,84. Корректировка для объектов аналогов находящихся в аренде составила 1/0,84 = 1,191. Корректировка для объектов аналогов в собс</w:t>
      </w:r>
      <w:r>
        <w:rPr>
          <w:rFonts w:eastAsia="Calibri"/>
          <w:sz w:val="24"/>
          <w:szCs w:val="24"/>
        </w:rPr>
        <w:t>твенности не проводилась.</w:t>
      </w:r>
    </w:p>
    <w:p w:rsidR="00E85D42" w:rsidRDefault="008113B9">
      <w:pPr>
        <w:tabs>
          <w:tab w:val="right" w:pos="9072"/>
        </w:tabs>
        <w:spacing w:after="120" w:line="276" w:lineRule="auto"/>
        <w:jc w:val="center"/>
        <w:rPr>
          <w:rFonts w:eastAsia="Calibri"/>
          <w:i/>
        </w:rPr>
      </w:pPr>
      <w:r>
        <w:rPr>
          <w:rFonts w:eastAsia="Calibri"/>
          <w:i/>
        </w:rPr>
        <w:t>Таблица 3.2.10. Лейфер Л.А. Справочник оценщика недвижимости - 2018. Земельные участки</w:t>
      </w:r>
    </w:p>
    <w:p w:rsidR="00E85D42" w:rsidRDefault="008113B9">
      <w:pPr>
        <w:tabs>
          <w:tab w:val="right" w:pos="9072"/>
        </w:tabs>
        <w:spacing w:after="120" w:line="276" w:lineRule="auto"/>
        <w:jc w:val="center"/>
      </w:pPr>
      <w:r>
        <w:rPr>
          <w:noProof/>
        </w:rPr>
        <w:drawing>
          <wp:inline distT="0" distB="0" distL="0" distR="0">
            <wp:extent cx="2810508" cy="2282470"/>
            <wp:effectExtent l="0" t="0" r="8892" b="3530"/>
            <wp:docPr id="125" name="Рисунок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rcRect l="28718" t="13903" r="44872" b="47966"/>
                    <a:stretch>
                      <a:fillRect/>
                    </a:stretch>
                  </pic:blipFill>
                  <pic:spPr>
                    <a:xfrm>
                      <a:off x="0" y="0"/>
                      <a:ext cx="2810508" cy="2282470"/>
                    </a:xfrm>
                    <a:prstGeom prst="rect">
                      <a:avLst/>
                    </a:prstGeom>
                    <a:noFill/>
                    <a:ln>
                      <a:noFill/>
                      <a:prstDash/>
                    </a:ln>
                  </pic:spPr>
                </pic:pic>
              </a:graphicData>
            </a:graphic>
          </wp:inline>
        </w:drawing>
      </w:r>
    </w:p>
    <w:p w:rsidR="00E85D42" w:rsidRDefault="00E85D42">
      <w:pPr>
        <w:tabs>
          <w:tab w:val="right" w:pos="9072"/>
        </w:tabs>
        <w:spacing w:after="120" w:line="276" w:lineRule="auto"/>
        <w:rPr>
          <w:rFonts w:eastAsia="Calibri"/>
        </w:rPr>
      </w:pPr>
    </w:p>
    <w:p w:rsidR="00E85D42" w:rsidRDefault="008113B9">
      <w:pPr>
        <w:tabs>
          <w:tab w:val="right" w:pos="9072"/>
        </w:tabs>
        <w:spacing w:after="120" w:line="276" w:lineRule="auto"/>
        <w:ind w:firstLine="709"/>
        <w:jc w:val="both"/>
      </w:pPr>
      <w:r>
        <w:rPr>
          <w:rFonts w:eastAsia="Calibri"/>
          <w:sz w:val="24"/>
          <w:szCs w:val="24"/>
        </w:rPr>
        <w:t>4. Корректировка на площадь.</w:t>
      </w:r>
    </w:p>
    <w:p w:rsidR="00E85D42" w:rsidRDefault="008113B9">
      <w:pPr>
        <w:tabs>
          <w:tab w:val="right" w:pos="9072"/>
        </w:tabs>
        <w:spacing w:after="120" w:line="276" w:lineRule="auto"/>
        <w:ind w:firstLine="709"/>
        <w:jc w:val="both"/>
      </w:pPr>
      <w:r>
        <w:rPr>
          <w:rFonts w:eastAsia="Calibri"/>
          <w:sz w:val="24"/>
          <w:szCs w:val="24"/>
        </w:rPr>
        <w:t>Корректировка принята в соответствии с данными специализированного справочника оценщика недвижимости (Лейфер Л.</w:t>
      </w:r>
      <w:r>
        <w:rPr>
          <w:rFonts w:eastAsia="Calibri"/>
          <w:sz w:val="24"/>
          <w:szCs w:val="24"/>
        </w:rPr>
        <w:t xml:space="preserve">А./ Справочник оценщика недвижимости - 2018. Земельные участки). </w:t>
      </w:r>
    </w:p>
    <w:p w:rsidR="00E85D42" w:rsidRDefault="00E85D42">
      <w:pPr>
        <w:tabs>
          <w:tab w:val="right" w:pos="9072"/>
        </w:tabs>
        <w:spacing w:after="120" w:line="276" w:lineRule="auto"/>
        <w:jc w:val="right"/>
        <w:rPr>
          <w:rFonts w:eastAsia="Calibri"/>
          <w:i/>
        </w:rPr>
      </w:pPr>
    </w:p>
    <w:p w:rsidR="00E85D42" w:rsidRDefault="008113B9">
      <w:pPr>
        <w:tabs>
          <w:tab w:val="right" w:pos="9072"/>
        </w:tabs>
        <w:spacing w:after="120" w:line="276" w:lineRule="auto"/>
        <w:jc w:val="right"/>
      </w:pPr>
      <w:r>
        <w:rPr>
          <w:rFonts w:eastAsia="Calibri"/>
          <w:i/>
        </w:rPr>
        <w:t>Таблица 3.2.11. Лейфер Л.А. Справочник оценщика недвижимости - 2018. Земельные участки</w:t>
      </w:r>
    </w:p>
    <w:p w:rsidR="00E85D42" w:rsidRDefault="008113B9">
      <w:pPr>
        <w:autoSpaceDE w:val="0"/>
        <w:jc w:val="center"/>
      </w:pPr>
      <w:r>
        <w:rPr>
          <w:noProof/>
        </w:rPr>
        <w:drawing>
          <wp:inline distT="0" distB="0" distL="0" distR="0">
            <wp:extent cx="4455011" cy="1431612"/>
            <wp:effectExtent l="0" t="0" r="2689" b="0"/>
            <wp:docPr id="126" name="Рисунок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rcRect l="9389" t="59100" r="2974"/>
                    <a:stretch>
                      <a:fillRect/>
                    </a:stretch>
                  </pic:blipFill>
                  <pic:spPr>
                    <a:xfrm>
                      <a:off x="0" y="0"/>
                      <a:ext cx="4455011" cy="1431612"/>
                    </a:xfrm>
                    <a:prstGeom prst="rect">
                      <a:avLst/>
                    </a:prstGeom>
                    <a:noFill/>
                    <a:ln>
                      <a:noFill/>
                      <a:prstDash/>
                    </a:ln>
                  </pic:spPr>
                </pic:pic>
              </a:graphicData>
            </a:graphic>
          </wp:inline>
        </w:drawing>
      </w:r>
    </w:p>
    <w:p w:rsidR="00E85D42" w:rsidRDefault="008113B9">
      <w:pPr>
        <w:ind w:firstLine="709"/>
        <w:jc w:val="both"/>
        <w:rPr>
          <w:sz w:val="24"/>
          <w:szCs w:val="24"/>
        </w:rPr>
      </w:pPr>
      <w:r>
        <w:rPr>
          <w:sz w:val="24"/>
          <w:szCs w:val="24"/>
        </w:rPr>
        <w:t xml:space="preserve">В следующей таблице приведены значения минимальных, максимальных и средних удельных рыночных цен по </w:t>
      </w:r>
      <w:r>
        <w:rPr>
          <w:sz w:val="24"/>
          <w:szCs w:val="24"/>
        </w:rPr>
        <w:t>муниципальным образованиям.</w:t>
      </w:r>
    </w:p>
    <w:p w:rsidR="00E85D42" w:rsidRDefault="008113B9">
      <w:pPr>
        <w:ind w:firstLine="720"/>
        <w:jc w:val="right"/>
      </w:pPr>
      <w:r>
        <w:rPr>
          <w:rFonts w:eastAsia="Calibri"/>
          <w:i/>
        </w:rPr>
        <w:t>Таблица 3.2.12 Диапазон и средние удельные рыночных цены по муниципальным образованиям.</w:t>
      </w:r>
    </w:p>
    <w:tbl>
      <w:tblPr>
        <w:tblW w:w="5000" w:type="pct"/>
        <w:tblCellMar>
          <w:left w:w="10" w:type="dxa"/>
          <w:right w:w="10" w:type="dxa"/>
        </w:tblCellMar>
        <w:tblLook w:val="04A0" w:firstRow="1" w:lastRow="0" w:firstColumn="1" w:lastColumn="0" w:noHBand="0" w:noVBand="1"/>
      </w:tblPr>
      <w:tblGrid>
        <w:gridCol w:w="3930"/>
        <w:gridCol w:w="1876"/>
        <w:gridCol w:w="1811"/>
        <w:gridCol w:w="1891"/>
      </w:tblGrid>
      <w:tr w:rsidR="00E85D42">
        <w:tblPrEx>
          <w:tblCellMar>
            <w:top w:w="0" w:type="dxa"/>
            <w:bottom w:w="0" w:type="dxa"/>
          </w:tblCellMar>
        </w:tblPrEx>
        <w:trPr>
          <w:trHeight w:val="570"/>
          <w:tblHeader/>
        </w:trPr>
        <w:tc>
          <w:tcPr>
            <w:tcW w:w="3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E85D42" w:rsidRDefault="008113B9">
            <w:pPr>
              <w:jc w:val="center"/>
              <w:rPr>
                <w:b/>
                <w:bCs/>
                <w:color w:val="000000"/>
                <w:sz w:val="22"/>
                <w:szCs w:val="22"/>
              </w:rPr>
            </w:pPr>
            <w:r>
              <w:rPr>
                <w:b/>
                <w:bCs/>
                <w:color w:val="000000"/>
                <w:sz w:val="22"/>
                <w:szCs w:val="22"/>
              </w:rPr>
              <w:t>Муниципальный район или городской округ</w:t>
            </w:r>
          </w:p>
        </w:tc>
        <w:tc>
          <w:tcPr>
            <w:tcW w:w="187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E85D42" w:rsidRDefault="008113B9">
            <w:pPr>
              <w:jc w:val="center"/>
              <w:rPr>
                <w:b/>
                <w:bCs/>
                <w:color w:val="000000"/>
                <w:sz w:val="22"/>
                <w:szCs w:val="22"/>
              </w:rPr>
            </w:pPr>
            <w:r>
              <w:rPr>
                <w:b/>
                <w:bCs/>
                <w:color w:val="000000"/>
                <w:sz w:val="22"/>
                <w:szCs w:val="22"/>
              </w:rPr>
              <w:t>Минимальная стоимость, руб,/кв,м,</w:t>
            </w:r>
          </w:p>
        </w:tc>
        <w:tc>
          <w:tcPr>
            <w:tcW w:w="181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E85D42" w:rsidRDefault="008113B9">
            <w:pPr>
              <w:jc w:val="center"/>
              <w:rPr>
                <w:b/>
                <w:bCs/>
                <w:color w:val="000000"/>
                <w:sz w:val="22"/>
                <w:szCs w:val="22"/>
              </w:rPr>
            </w:pPr>
            <w:r>
              <w:rPr>
                <w:b/>
                <w:bCs/>
                <w:color w:val="000000"/>
                <w:sz w:val="22"/>
                <w:szCs w:val="22"/>
              </w:rPr>
              <w:t>Средняя стоимость, руб./кв.м.</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E85D42" w:rsidRDefault="008113B9">
            <w:pPr>
              <w:jc w:val="center"/>
              <w:rPr>
                <w:b/>
                <w:bCs/>
                <w:color w:val="000000"/>
                <w:sz w:val="22"/>
                <w:szCs w:val="22"/>
              </w:rPr>
            </w:pPr>
            <w:r>
              <w:rPr>
                <w:b/>
                <w:bCs/>
                <w:color w:val="000000"/>
                <w:sz w:val="22"/>
                <w:szCs w:val="22"/>
              </w:rPr>
              <w:t>Максимальная стоимость, руб./кв.м.</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город Агидель</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85</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106</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127</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город Кумертау</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378</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2 912</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ЗАТО Межгорье</w:t>
            </w:r>
          </w:p>
        </w:tc>
        <w:tc>
          <w:tcPr>
            <w:tcW w:w="55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город Нефтекамск</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26</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351</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863</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город Октябрьский</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142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568</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1 692</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город Салават</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51</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95</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124</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город Сибай</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65</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202</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город Стерлитамак</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603</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4 213</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город Уфа</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27</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778</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3 588</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Абзелиловский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Альшеевский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18</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18</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18</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Архангельский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35</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46</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56</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Аскинский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19</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48</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73</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Аургазинский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46</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46</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46</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Баймакский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10</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41</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Бакалинский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13</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140</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391</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Балтачевский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73</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142</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Белебеевский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51</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811</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1 867</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Белокатайский муниципальный район</w:t>
            </w:r>
          </w:p>
        </w:tc>
        <w:tc>
          <w:tcPr>
            <w:tcW w:w="55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Белорецкий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111</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421</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599</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 xml:space="preserve">Бижбулякский </w:t>
            </w:r>
            <w:r>
              <w:rPr>
                <w:color w:val="000000"/>
                <w:sz w:val="22"/>
                <w:szCs w:val="22"/>
              </w:rPr>
              <w:t>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64</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140</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Бирский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41</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93</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123</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Благоварский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240</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240</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Благовещенский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194</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705</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Буздякский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28</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226</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423</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Бураевский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51</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51</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51</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 xml:space="preserve">Бурзянский </w:t>
            </w:r>
            <w:r>
              <w:rPr>
                <w:color w:val="000000"/>
                <w:sz w:val="22"/>
                <w:szCs w:val="22"/>
              </w:rPr>
              <w:t>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59</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59</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59</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Гафурийский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12</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32</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Давлекановский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76</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159</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242</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Дуванский муниципальный район</w:t>
            </w:r>
          </w:p>
        </w:tc>
        <w:tc>
          <w:tcPr>
            <w:tcW w:w="55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Дюртюлинский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19</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31</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Ермекеевский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Зианчуринский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27</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27</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27</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Зилаирский муниципальный район</w:t>
            </w:r>
          </w:p>
        </w:tc>
        <w:tc>
          <w:tcPr>
            <w:tcW w:w="55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Иглинский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16</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537</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1 995</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Илишевский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62</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62</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Ишимбайский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28</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91</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254</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 xml:space="preserve">Калтасинский муниципальный </w:t>
            </w:r>
            <w:r>
              <w:rPr>
                <w:color w:val="000000"/>
                <w:sz w:val="22"/>
                <w:szCs w:val="22"/>
              </w:rPr>
              <w:t>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Караидельский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42</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42</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Кармаскалинский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43</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104</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Кигинский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11</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267</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774</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Краснокамский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4</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27</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50</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Кугарчинский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226</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226</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226</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 xml:space="preserve">Кушнаренковский </w:t>
            </w:r>
            <w:r>
              <w:rPr>
                <w:color w:val="000000"/>
                <w:sz w:val="22"/>
                <w:szCs w:val="22"/>
              </w:rPr>
              <w:t>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69</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245</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Куюргазинский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Мелеузовский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120</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297</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Мечетлинский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74</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96</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Мишкинский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8</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37</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66</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Миякинский муниципальный район</w:t>
            </w:r>
          </w:p>
        </w:tc>
        <w:tc>
          <w:tcPr>
            <w:tcW w:w="55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Нуримановский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71</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136</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185</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Салаватский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92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245</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399</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Стерлибашевский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202</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601</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Стерлитамакский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6</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10</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13</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Татышлинский муниципальный район</w:t>
            </w:r>
          </w:p>
        </w:tc>
        <w:tc>
          <w:tcPr>
            <w:tcW w:w="55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 xml:space="preserve">Туймазинский </w:t>
            </w:r>
            <w:r>
              <w:rPr>
                <w:color w:val="000000"/>
                <w:sz w:val="22"/>
                <w:szCs w:val="22"/>
              </w:rPr>
              <w:t>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14</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293</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1 624</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Уфимский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86</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540</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1 859</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Учалинский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158</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187</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217</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Федоровский муниципальный район</w:t>
            </w:r>
          </w:p>
        </w:tc>
        <w:tc>
          <w:tcPr>
            <w:tcW w:w="55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Хайбуллинский муниципальный район</w:t>
            </w:r>
          </w:p>
        </w:tc>
        <w:tc>
          <w:tcPr>
            <w:tcW w:w="55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предложения отсутствуют</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 xml:space="preserve">Чекмагушевский </w:t>
            </w:r>
            <w:r>
              <w:rPr>
                <w:color w:val="000000"/>
                <w:sz w:val="22"/>
                <w:szCs w:val="22"/>
              </w:rPr>
              <w:t>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134</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134</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134</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Чишминский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99</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158</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244</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Шаранский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268</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268</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268</w:t>
            </w:r>
          </w:p>
        </w:tc>
      </w:tr>
      <w:tr w:rsidR="00E85D42">
        <w:tblPrEx>
          <w:tblCellMar>
            <w:top w:w="0" w:type="dxa"/>
            <w:bottom w:w="0" w:type="dxa"/>
          </w:tblCellMar>
        </w:tblPrEx>
        <w:trPr>
          <w:trHeight w:val="300"/>
        </w:trPr>
        <w:tc>
          <w:tcPr>
            <w:tcW w:w="3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rPr>
                <w:color w:val="000000"/>
                <w:sz w:val="22"/>
                <w:szCs w:val="22"/>
              </w:rPr>
            </w:pPr>
            <w:r>
              <w:rPr>
                <w:color w:val="000000"/>
                <w:sz w:val="22"/>
                <w:szCs w:val="22"/>
              </w:rPr>
              <w:t>Янаульский муниципальный район</w:t>
            </w:r>
          </w:p>
        </w:tc>
        <w:tc>
          <w:tcPr>
            <w:tcW w:w="1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9</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299</w:t>
            </w:r>
          </w:p>
        </w:tc>
        <w:tc>
          <w:tcPr>
            <w:tcW w:w="1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85D42" w:rsidRDefault="008113B9">
            <w:pPr>
              <w:jc w:val="center"/>
              <w:rPr>
                <w:color w:val="000000"/>
                <w:sz w:val="22"/>
                <w:szCs w:val="22"/>
              </w:rPr>
            </w:pPr>
            <w:r>
              <w:rPr>
                <w:color w:val="000000"/>
                <w:sz w:val="22"/>
                <w:szCs w:val="22"/>
              </w:rPr>
              <w:t>975</w:t>
            </w:r>
          </w:p>
        </w:tc>
      </w:tr>
    </w:tbl>
    <w:p w:rsidR="00E85D42" w:rsidRDefault="008113B9">
      <w:pPr>
        <w:spacing w:line="276" w:lineRule="auto"/>
        <w:ind w:firstLine="720"/>
        <w:jc w:val="both"/>
      </w:pPr>
      <w:r>
        <w:rPr>
          <w:sz w:val="24"/>
          <w:szCs w:val="24"/>
        </w:rPr>
        <w:t xml:space="preserve"> Общий диапазон удельных цен, ограничен значениями 1 и 4213 руб. за кв. м (с учетом допустимого</w:t>
      </w:r>
      <w:r>
        <w:rPr>
          <w:sz w:val="24"/>
          <w:szCs w:val="24"/>
        </w:rPr>
        <w:t xml:space="preserve"> округления). </w:t>
      </w:r>
    </w:p>
    <w:p w:rsidR="00E85D42" w:rsidRDefault="008113B9">
      <w:pPr>
        <w:spacing w:line="276" w:lineRule="auto"/>
        <w:ind w:firstLine="720"/>
        <w:jc w:val="both"/>
      </w:pPr>
      <w:r>
        <w:rPr>
          <w:sz w:val="24"/>
          <w:szCs w:val="24"/>
        </w:rPr>
        <w:t>Было построено 5 ценовых интервалов. Минимальные, максимальные и средние удельные цены для каждой ценовой зоны приведены в следующей таблице.</w:t>
      </w:r>
    </w:p>
    <w:p w:rsidR="00E85D42" w:rsidRDefault="008113B9">
      <w:pPr>
        <w:spacing w:line="254" w:lineRule="auto"/>
        <w:jc w:val="right"/>
      </w:pPr>
      <w:r>
        <w:rPr>
          <w:rFonts w:eastAsia="TimesNewRomanPSMT"/>
          <w:i/>
        </w:rPr>
        <w:t xml:space="preserve">Таблица 3.2.13 Минимальные, максимальные и средние цены в ценовых зонах для земельных участков </w:t>
      </w:r>
      <w:r>
        <w:rPr>
          <w:i/>
        </w:rPr>
        <w:t>прои</w:t>
      </w:r>
      <w:r>
        <w:rPr>
          <w:i/>
        </w:rPr>
        <w:t>зводственной деятельности</w:t>
      </w:r>
    </w:p>
    <w:tbl>
      <w:tblPr>
        <w:tblW w:w="5000" w:type="pct"/>
        <w:tblCellMar>
          <w:left w:w="10" w:type="dxa"/>
          <w:right w:w="10" w:type="dxa"/>
        </w:tblCellMar>
        <w:tblLook w:val="04A0" w:firstRow="1" w:lastRow="0" w:firstColumn="1" w:lastColumn="0" w:noHBand="0" w:noVBand="1"/>
      </w:tblPr>
      <w:tblGrid>
        <w:gridCol w:w="2234"/>
        <w:gridCol w:w="2551"/>
        <w:gridCol w:w="2695"/>
        <w:gridCol w:w="2234"/>
      </w:tblGrid>
      <w:tr w:rsidR="00E85D42">
        <w:tblPrEx>
          <w:tblCellMar>
            <w:top w:w="0" w:type="dxa"/>
            <w:bottom w:w="0" w:type="dxa"/>
          </w:tblCellMar>
        </w:tblPrEx>
        <w:trPr>
          <w:trHeight w:val="315"/>
        </w:trPr>
        <w:tc>
          <w:tcPr>
            <w:tcW w:w="223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Ценовая зона</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Минимальная цена</w:t>
            </w:r>
          </w:p>
        </w:tc>
        <w:tc>
          <w:tcPr>
            <w:tcW w:w="26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Максимальная цена</w:t>
            </w:r>
          </w:p>
        </w:tc>
        <w:tc>
          <w:tcPr>
            <w:tcW w:w="223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Средняя цена</w:t>
            </w:r>
          </w:p>
        </w:tc>
      </w:tr>
      <w:tr w:rsidR="00E85D42">
        <w:tblPrEx>
          <w:tblCellMar>
            <w:top w:w="0" w:type="dxa"/>
            <w:bottom w:w="0" w:type="dxa"/>
          </w:tblCellMar>
        </w:tblPrEx>
        <w:trPr>
          <w:trHeight w:val="315"/>
        </w:trPr>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 зона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648</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811</w:t>
            </w:r>
          </w:p>
        </w:tc>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730</w:t>
            </w:r>
          </w:p>
        </w:tc>
      </w:tr>
      <w:tr w:rsidR="00E85D42">
        <w:tblPrEx>
          <w:tblCellMar>
            <w:top w:w="0" w:type="dxa"/>
            <w:bottom w:w="0" w:type="dxa"/>
          </w:tblCellMar>
        </w:tblPrEx>
        <w:trPr>
          <w:trHeight w:val="315"/>
        </w:trPr>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 зона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486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648</w:t>
            </w:r>
          </w:p>
        </w:tc>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567</w:t>
            </w:r>
          </w:p>
        </w:tc>
      </w:tr>
      <w:tr w:rsidR="00E85D42">
        <w:tblPrEx>
          <w:tblCellMar>
            <w:top w:w="0" w:type="dxa"/>
            <w:bottom w:w="0" w:type="dxa"/>
          </w:tblCellMar>
        </w:tblPrEx>
        <w:trPr>
          <w:trHeight w:val="315"/>
        </w:trPr>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 зона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324</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486</w:t>
            </w:r>
          </w:p>
        </w:tc>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405</w:t>
            </w:r>
          </w:p>
        </w:tc>
      </w:tr>
      <w:tr w:rsidR="00E85D42">
        <w:tblPrEx>
          <w:tblCellMar>
            <w:top w:w="0" w:type="dxa"/>
            <w:bottom w:w="0" w:type="dxa"/>
          </w:tblCellMar>
        </w:tblPrEx>
        <w:trPr>
          <w:trHeight w:val="315"/>
        </w:trPr>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 зона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324</w:t>
            </w:r>
          </w:p>
        </w:tc>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243</w:t>
            </w:r>
          </w:p>
        </w:tc>
      </w:tr>
      <w:tr w:rsidR="00E85D42">
        <w:tblPrEx>
          <w:tblCellMar>
            <w:top w:w="0" w:type="dxa"/>
            <w:bottom w:w="0" w:type="dxa"/>
          </w:tblCellMar>
        </w:tblPrEx>
        <w:trPr>
          <w:trHeight w:val="315"/>
        </w:trPr>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 зона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162</w:t>
            </w:r>
          </w:p>
        </w:tc>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83</w:t>
            </w:r>
          </w:p>
        </w:tc>
      </w:tr>
      <w:tr w:rsidR="00E85D42">
        <w:tblPrEx>
          <w:tblCellMar>
            <w:top w:w="0" w:type="dxa"/>
            <w:bottom w:w="0" w:type="dxa"/>
          </w:tblCellMar>
        </w:tblPrEx>
        <w:trPr>
          <w:trHeight w:val="315"/>
        </w:trPr>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 зона</w:t>
            </w: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МР и ГО сделки/предложения в которых отсутствуют</w:t>
            </w:r>
          </w:p>
        </w:tc>
      </w:tr>
    </w:tbl>
    <w:p w:rsidR="00E85D42" w:rsidRDefault="008113B9">
      <w:pPr>
        <w:spacing w:before="120" w:line="276" w:lineRule="auto"/>
        <w:ind w:firstLine="720"/>
        <w:jc w:val="both"/>
        <w:rPr>
          <w:sz w:val="24"/>
          <w:szCs w:val="24"/>
        </w:rPr>
      </w:pPr>
      <w:r>
        <w:rPr>
          <w:sz w:val="24"/>
          <w:szCs w:val="24"/>
        </w:rPr>
        <w:t>По результатам</w:t>
      </w:r>
      <w:r>
        <w:rPr>
          <w:sz w:val="24"/>
          <w:szCs w:val="24"/>
        </w:rPr>
        <w:t xml:space="preserve"> оценочного зонирования территории Республики Башкортостан, составлена цветовая схема ценовых зон. Границы ценовых зон на данной схеме определяются изменением цветовой окраски, отвечающей каждому ценовому диапазону, как это отражено в пояснениях к диаграмм</w:t>
      </w:r>
      <w:r>
        <w:rPr>
          <w:sz w:val="24"/>
          <w:szCs w:val="24"/>
        </w:rPr>
        <w:t>е. Как видно на схеме оценочного зонирования, наиболее дорогие земельные участки, относящиеся к 1 ценовой зоне, расположены в границах крупных населенных пунктах.</w:t>
      </w:r>
    </w:p>
    <w:p w:rsidR="00E85D42" w:rsidRDefault="00E85D42">
      <w:pPr>
        <w:spacing w:before="120" w:line="276" w:lineRule="auto"/>
        <w:ind w:firstLine="720"/>
        <w:jc w:val="both"/>
        <w:rPr>
          <w:sz w:val="24"/>
          <w:szCs w:val="24"/>
        </w:rPr>
      </w:pPr>
    </w:p>
    <w:p w:rsidR="00E85D42" w:rsidRDefault="008113B9">
      <w:pPr>
        <w:spacing w:before="120" w:line="276" w:lineRule="auto"/>
        <w:ind w:firstLine="720"/>
        <w:jc w:val="right"/>
      </w:pPr>
      <w:r>
        <w:rPr>
          <w:rFonts w:eastAsia="Calibri"/>
          <w:i/>
        </w:rPr>
        <w:t>Рисунок 3.2.2. Схема оценочного зонирования территории Республики Башкортостан по сегменту «</w:t>
      </w:r>
      <w:r>
        <w:rPr>
          <w:rFonts w:eastAsia="Calibri"/>
          <w:i/>
        </w:rPr>
        <w:t>Производственная деятельность»</w:t>
      </w:r>
    </w:p>
    <w:p w:rsidR="00E85D42" w:rsidRDefault="008113B9">
      <w:pPr>
        <w:tabs>
          <w:tab w:val="right" w:pos="9072"/>
        </w:tabs>
        <w:spacing w:after="120" w:line="276" w:lineRule="auto"/>
        <w:jc w:val="center"/>
      </w:pPr>
      <w:r>
        <w:rPr>
          <w:noProof/>
        </w:rPr>
        <w:drawing>
          <wp:inline distT="0" distB="0" distL="0" distR="0">
            <wp:extent cx="6031226" cy="7205499"/>
            <wp:effectExtent l="0" t="0" r="7624" b="0"/>
            <wp:docPr id="127" name="Рисунок 131" descr="Z:\!Елсукова Н.Н\!!!Производство\Зонирование.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rcRect/>
                    <a:stretch>
                      <a:fillRect/>
                    </a:stretch>
                  </pic:blipFill>
                  <pic:spPr>
                    <a:xfrm>
                      <a:off x="0" y="0"/>
                      <a:ext cx="6031226" cy="7205499"/>
                    </a:xfrm>
                    <a:prstGeom prst="rect">
                      <a:avLst/>
                    </a:prstGeom>
                    <a:noFill/>
                    <a:ln>
                      <a:noFill/>
                      <a:prstDash/>
                    </a:ln>
                  </pic:spPr>
                </pic:pic>
              </a:graphicData>
            </a:graphic>
          </wp:inline>
        </w:drawing>
      </w:r>
    </w:p>
    <w:p w:rsidR="00E85D42" w:rsidRDefault="00E85D42">
      <w:pPr>
        <w:spacing w:line="254" w:lineRule="auto"/>
        <w:jc w:val="center"/>
        <w:rPr>
          <w:rFonts w:eastAsia="Calibri"/>
          <w:i/>
        </w:rPr>
      </w:pPr>
    </w:p>
    <w:p w:rsidR="00E85D42" w:rsidRDefault="008113B9">
      <w:pPr>
        <w:spacing w:line="276" w:lineRule="auto"/>
        <w:ind w:firstLine="567"/>
        <w:jc w:val="center"/>
        <w:rPr>
          <w:b/>
          <w:sz w:val="24"/>
          <w:szCs w:val="24"/>
        </w:rPr>
      </w:pPr>
      <w:r>
        <w:rPr>
          <w:b/>
          <w:sz w:val="24"/>
          <w:szCs w:val="24"/>
        </w:rPr>
        <w:t>Оценочное зонирование сегмента «Садоводство и огородничество, малоэтажная жилая застройка».</w:t>
      </w:r>
    </w:p>
    <w:p w:rsidR="00E85D42" w:rsidRDefault="008113B9">
      <w:pPr>
        <w:spacing w:line="276" w:lineRule="auto"/>
        <w:ind w:firstLine="709"/>
        <w:jc w:val="both"/>
        <w:rPr>
          <w:sz w:val="24"/>
          <w:szCs w:val="24"/>
        </w:rPr>
      </w:pPr>
      <w:r>
        <w:rPr>
          <w:sz w:val="24"/>
          <w:szCs w:val="24"/>
        </w:rPr>
        <w:t xml:space="preserve">Для проведения оценочного зонирования Сегмента «Садоводство и огородничество, малоэтажная жилая застройка» (в Республике </w:t>
      </w:r>
      <w:r>
        <w:rPr>
          <w:sz w:val="24"/>
          <w:szCs w:val="24"/>
        </w:rPr>
        <w:t>Башкортостан было использовано 3870 единиц рыночной информации).</w:t>
      </w:r>
    </w:p>
    <w:p w:rsidR="00E85D42" w:rsidRDefault="00E85D42">
      <w:pPr>
        <w:spacing w:after="120" w:line="276" w:lineRule="auto"/>
        <w:ind w:firstLine="567"/>
        <w:jc w:val="both"/>
        <w:rPr>
          <w:b/>
          <w:sz w:val="24"/>
          <w:szCs w:val="24"/>
        </w:rPr>
      </w:pPr>
    </w:p>
    <w:p w:rsidR="00E85D42" w:rsidRDefault="00E85D42">
      <w:pPr>
        <w:spacing w:after="120" w:line="276" w:lineRule="auto"/>
        <w:ind w:firstLine="567"/>
        <w:jc w:val="both"/>
        <w:rPr>
          <w:b/>
          <w:sz w:val="24"/>
          <w:szCs w:val="24"/>
        </w:rPr>
      </w:pPr>
    </w:p>
    <w:p w:rsidR="00E85D42" w:rsidRDefault="008113B9">
      <w:pPr>
        <w:spacing w:after="120" w:line="276" w:lineRule="auto"/>
        <w:ind w:firstLine="567"/>
        <w:jc w:val="both"/>
      </w:pPr>
      <w:r>
        <w:rPr>
          <w:b/>
          <w:sz w:val="24"/>
          <w:szCs w:val="24"/>
        </w:rPr>
        <w:t>Расчет рыночной стоимости типовых земельных участков.</w:t>
      </w:r>
    </w:p>
    <w:p w:rsidR="00E85D42" w:rsidRDefault="008113B9">
      <w:pPr>
        <w:ind w:firstLine="567"/>
        <w:jc w:val="both"/>
        <w:rPr>
          <w:sz w:val="24"/>
          <w:szCs w:val="24"/>
        </w:rPr>
      </w:pPr>
      <w:r>
        <w:rPr>
          <w:sz w:val="24"/>
          <w:szCs w:val="24"/>
        </w:rPr>
        <w:t>При проведении анализа рыночных цен выбран типовой объект со следующими характеристиками:</w:t>
      </w:r>
    </w:p>
    <w:p w:rsidR="00E85D42" w:rsidRDefault="008113B9">
      <w:pPr>
        <w:pStyle w:val="ab"/>
        <w:numPr>
          <w:ilvl w:val="0"/>
          <w:numId w:val="20"/>
        </w:numPr>
        <w:ind w:left="1418" w:firstLine="0"/>
        <w:jc w:val="both"/>
        <w:rPr>
          <w:sz w:val="24"/>
        </w:rPr>
      </w:pPr>
      <w:r>
        <w:rPr>
          <w:sz w:val="24"/>
        </w:rPr>
        <w:t xml:space="preserve">Тип (вид) объектов недвижимости– земельный </w:t>
      </w:r>
      <w:r>
        <w:rPr>
          <w:sz w:val="24"/>
        </w:rPr>
        <w:t>участок.</w:t>
      </w:r>
    </w:p>
    <w:p w:rsidR="00E85D42" w:rsidRDefault="008113B9">
      <w:pPr>
        <w:pStyle w:val="ab"/>
        <w:numPr>
          <w:ilvl w:val="0"/>
          <w:numId w:val="20"/>
        </w:numPr>
        <w:ind w:left="1418" w:firstLine="0"/>
        <w:jc w:val="both"/>
        <w:rPr>
          <w:sz w:val="24"/>
        </w:rPr>
      </w:pPr>
      <w:r>
        <w:rPr>
          <w:sz w:val="24"/>
        </w:rPr>
        <w:t>Вид использования–садоводство, огородничество, индивидуальная жилая застройка, личное подсобное хозяйство.</w:t>
      </w:r>
    </w:p>
    <w:p w:rsidR="00E85D42" w:rsidRDefault="008113B9">
      <w:pPr>
        <w:pStyle w:val="ab"/>
        <w:numPr>
          <w:ilvl w:val="0"/>
          <w:numId w:val="20"/>
        </w:numPr>
        <w:ind w:left="1418" w:firstLine="0"/>
        <w:jc w:val="both"/>
      </w:pPr>
      <w:r>
        <w:rPr>
          <w:sz w:val="24"/>
        </w:rPr>
        <w:t>Площадь–</w:t>
      </w:r>
      <w:r>
        <w:rPr>
          <w:sz w:val="24"/>
          <w:lang w:val="en-US"/>
        </w:rPr>
        <w:t xml:space="preserve"> до 1500</w:t>
      </w:r>
      <w:r>
        <w:rPr>
          <w:sz w:val="24"/>
        </w:rPr>
        <w:t xml:space="preserve"> кв. м.</w:t>
      </w:r>
    </w:p>
    <w:p w:rsidR="00E85D42" w:rsidRDefault="008113B9">
      <w:pPr>
        <w:pStyle w:val="ab"/>
        <w:numPr>
          <w:ilvl w:val="0"/>
          <w:numId w:val="20"/>
        </w:numPr>
        <w:ind w:left="1418" w:firstLine="0"/>
        <w:jc w:val="both"/>
      </w:pPr>
      <w:r>
        <w:rPr>
          <w:sz w:val="24"/>
          <w:lang w:val="en-US"/>
        </w:rPr>
        <w:t>Имущественные права - собственность</w:t>
      </w:r>
      <w:r>
        <w:rPr>
          <w:sz w:val="24"/>
        </w:rPr>
        <w:t>.</w:t>
      </w:r>
    </w:p>
    <w:p w:rsidR="00E85D42" w:rsidRDefault="008113B9">
      <w:pPr>
        <w:tabs>
          <w:tab w:val="right" w:pos="9072"/>
        </w:tabs>
        <w:spacing w:after="120" w:line="276" w:lineRule="auto"/>
        <w:ind w:firstLine="567"/>
        <w:jc w:val="both"/>
        <w:rPr>
          <w:sz w:val="24"/>
          <w:szCs w:val="24"/>
        </w:rPr>
      </w:pPr>
      <w:r>
        <w:rPr>
          <w:sz w:val="24"/>
          <w:szCs w:val="24"/>
        </w:rPr>
        <w:t xml:space="preserve">Для сопоставимости был введен ряд корректирующих коэффициентов. </w:t>
      </w:r>
    </w:p>
    <w:p w:rsidR="00E85D42" w:rsidRDefault="008113B9">
      <w:pPr>
        <w:tabs>
          <w:tab w:val="left" w:pos="900"/>
        </w:tabs>
        <w:spacing w:after="120" w:line="276" w:lineRule="auto"/>
        <w:ind w:firstLine="567"/>
        <w:jc w:val="both"/>
        <w:rPr>
          <w:sz w:val="24"/>
          <w:szCs w:val="24"/>
        </w:rPr>
      </w:pPr>
      <w:r>
        <w:rPr>
          <w:sz w:val="24"/>
          <w:szCs w:val="24"/>
        </w:rPr>
        <w:t>1. Корректиров</w:t>
      </w:r>
      <w:r>
        <w:rPr>
          <w:sz w:val="24"/>
          <w:szCs w:val="24"/>
        </w:rPr>
        <w:t>ка на торг.</w:t>
      </w:r>
    </w:p>
    <w:p w:rsidR="00E85D42" w:rsidRDefault="008113B9">
      <w:pPr>
        <w:tabs>
          <w:tab w:val="right" w:pos="9072"/>
        </w:tabs>
        <w:spacing w:after="120" w:line="276" w:lineRule="auto"/>
        <w:ind w:firstLine="567"/>
        <w:jc w:val="both"/>
        <w:rPr>
          <w:sz w:val="24"/>
          <w:szCs w:val="24"/>
        </w:rPr>
      </w:pPr>
      <w:r>
        <w:rPr>
          <w:sz w:val="24"/>
          <w:szCs w:val="24"/>
        </w:rPr>
        <w:t>Стоимость объектов-аналогов является ценой предложения. Реальные цены, по которым заключаются договоры, как правило, ниже цен предложения. С учетом сложившейся практики в оценке объектов недвижимости и тенденции развития рынка недвижимости в РФ</w:t>
      </w:r>
      <w:r>
        <w:rPr>
          <w:sz w:val="24"/>
          <w:szCs w:val="24"/>
        </w:rPr>
        <w:t xml:space="preserve"> применение цен предложений является неизбежным. </w:t>
      </w:r>
    </w:p>
    <w:p w:rsidR="00E85D42" w:rsidRDefault="008113B9">
      <w:pPr>
        <w:tabs>
          <w:tab w:val="right" w:pos="9072"/>
        </w:tabs>
        <w:spacing w:after="120" w:line="276" w:lineRule="auto"/>
        <w:ind w:firstLine="567"/>
        <w:jc w:val="both"/>
      </w:pPr>
      <w:r>
        <w:rPr>
          <w:sz w:val="24"/>
          <w:szCs w:val="24"/>
        </w:rPr>
        <w:t>Так как для оценочного зонирования была использована рыночная информация о застроенных и не застроенных земельных участках, корректировка на торг для единых объектов недвижимости, согласно справочнику оценщ</w:t>
      </w:r>
      <w:r>
        <w:rPr>
          <w:sz w:val="24"/>
          <w:szCs w:val="24"/>
        </w:rPr>
        <w:t xml:space="preserve">ика </w:t>
      </w:r>
      <w:r>
        <w:rPr>
          <w:rFonts w:eastAsia="Calibri"/>
          <w:sz w:val="24"/>
          <w:szCs w:val="24"/>
        </w:rPr>
        <w:t>недвижимости (Лейфер Л.А./ Справочник оценщика недвижимости - 2018. Жилые дома)</w:t>
      </w:r>
      <w:r>
        <w:rPr>
          <w:sz w:val="24"/>
          <w:szCs w:val="24"/>
        </w:rPr>
        <w:t xml:space="preserve"> была принята в размере 13.6% (коэффициент для расчета 0,864). Корректировка для не застроенных земельных участков, согласно справочнику оценщика </w:t>
      </w:r>
      <w:r>
        <w:rPr>
          <w:rFonts w:eastAsia="Calibri"/>
          <w:sz w:val="24"/>
          <w:szCs w:val="24"/>
        </w:rPr>
        <w:t xml:space="preserve">недвижимости (Лейфер Л.А./ </w:t>
      </w:r>
      <w:r>
        <w:rPr>
          <w:rFonts w:eastAsia="Calibri"/>
          <w:sz w:val="24"/>
          <w:szCs w:val="24"/>
        </w:rPr>
        <w:t xml:space="preserve">Справочник оценщика недвижимости - 2018. Земельные участки) </w:t>
      </w:r>
      <w:r>
        <w:rPr>
          <w:sz w:val="24"/>
          <w:szCs w:val="24"/>
        </w:rPr>
        <w:t>была принята в размере 14,4% (коэффициент для расчета 0,856), для объектов аналогов сделки по которым являются совершенными (торги/аукционы) корректировка не проводилась.</w:t>
      </w:r>
    </w:p>
    <w:p w:rsidR="00E85D42" w:rsidRDefault="008113B9">
      <w:pPr>
        <w:tabs>
          <w:tab w:val="right" w:pos="9072"/>
        </w:tabs>
        <w:spacing w:after="120" w:line="276" w:lineRule="auto"/>
        <w:jc w:val="right"/>
        <w:rPr>
          <w:rFonts w:eastAsia="Calibri"/>
          <w:i/>
        </w:rPr>
      </w:pPr>
      <w:r>
        <w:rPr>
          <w:rFonts w:eastAsia="Calibri"/>
          <w:i/>
        </w:rPr>
        <w:t>Таблица 3.2.14 Лейфер Л.А</w:t>
      </w:r>
      <w:r>
        <w:rPr>
          <w:rFonts w:eastAsia="Calibri"/>
          <w:i/>
        </w:rPr>
        <w:t>. Справочник оценщика недвижимости - 2018. Жилые дома</w:t>
      </w:r>
    </w:p>
    <w:p w:rsidR="00E85D42" w:rsidRDefault="008113B9">
      <w:pPr>
        <w:tabs>
          <w:tab w:val="right" w:pos="9072"/>
        </w:tabs>
        <w:spacing w:after="120" w:line="276" w:lineRule="auto"/>
        <w:jc w:val="center"/>
      </w:pPr>
      <w:r>
        <w:rPr>
          <w:noProof/>
        </w:rPr>
        <w:drawing>
          <wp:inline distT="0" distB="0" distL="0" distR="0">
            <wp:extent cx="3321503" cy="1992907"/>
            <wp:effectExtent l="0" t="0" r="0" b="7343"/>
            <wp:docPr id="128"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rcRect b="58406"/>
                    <a:stretch>
                      <a:fillRect/>
                    </a:stretch>
                  </pic:blipFill>
                  <pic:spPr>
                    <a:xfrm>
                      <a:off x="0" y="0"/>
                      <a:ext cx="3321503" cy="1992907"/>
                    </a:xfrm>
                    <a:prstGeom prst="rect">
                      <a:avLst/>
                    </a:prstGeom>
                    <a:noFill/>
                    <a:ln>
                      <a:noFill/>
                      <a:prstDash/>
                    </a:ln>
                  </pic:spPr>
                </pic:pic>
              </a:graphicData>
            </a:graphic>
          </wp:inline>
        </w:drawing>
      </w:r>
    </w:p>
    <w:p w:rsidR="00E85D42" w:rsidRDefault="008113B9">
      <w:pPr>
        <w:tabs>
          <w:tab w:val="right" w:pos="9072"/>
        </w:tabs>
        <w:spacing w:after="120" w:line="276" w:lineRule="auto"/>
        <w:ind w:firstLine="709"/>
        <w:jc w:val="both"/>
        <w:rPr>
          <w:sz w:val="24"/>
          <w:szCs w:val="24"/>
        </w:rPr>
      </w:pPr>
      <w:r>
        <w:rPr>
          <w:sz w:val="24"/>
          <w:szCs w:val="24"/>
        </w:rPr>
        <w:t>2. Корректировка на долю стоимости земельного участка в стоимости единого объекта недвижимости.</w:t>
      </w:r>
    </w:p>
    <w:p w:rsidR="00E85D42" w:rsidRDefault="008113B9">
      <w:pPr>
        <w:tabs>
          <w:tab w:val="right" w:pos="9072"/>
        </w:tabs>
        <w:spacing w:after="120" w:line="276" w:lineRule="auto"/>
        <w:ind w:firstLine="709"/>
        <w:jc w:val="both"/>
        <w:rPr>
          <w:sz w:val="24"/>
          <w:szCs w:val="24"/>
        </w:rPr>
      </w:pPr>
      <w:r>
        <w:rPr>
          <w:sz w:val="24"/>
          <w:szCs w:val="24"/>
        </w:rPr>
        <w:t>В качестве исходных данных использовались рыночные цены застроенных и не застроенных земельных участков.</w:t>
      </w:r>
      <w:r>
        <w:rPr>
          <w:sz w:val="24"/>
          <w:szCs w:val="24"/>
        </w:rPr>
        <w:t xml:space="preserve"> Доля стоимости земельного участка в стоимости единого объекта недвижимости определялась в соответствии с Методическими указаниями о государственной кадастровой оценке, утвержденными Приказом Минэкономразвития России от 12 мая 2017 года № 226, и принята в </w:t>
      </w:r>
      <w:r>
        <w:rPr>
          <w:sz w:val="24"/>
          <w:szCs w:val="24"/>
        </w:rPr>
        <w:t>размере 25% от стоимости единого объекта недвижимости. Согласно которому доля стоимости земельного участка составляет 20-30% от общей стоимости единого объекта недвижимости. Корректировка для застроенных земельных участков принята как среднее значение - 25</w:t>
      </w:r>
      <w:r>
        <w:rPr>
          <w:sz w:val="24"/>
          <w:szCs w:val="24"/>
        </w:rPr>
        <w:t>% от стоимости предложения/сделки (коэффициент для расчета 0,25), для свободных земельных участков корректировка не проводилась.</w:t>
      </w:r>
    </w:p>
    <w:p w:rsidR="00E85D42" w:rsidRDefault="00E85D42">
      <w:pPr>
        <w:tabs>
          <w:tab w:val="right" w:pos="9072"/>
        </w:tabs>
        <w:spacing w:after="120" w:line="276" w:lineRule="auto"/>
        <w:ind w:firstLine="709"/>
        <w:jc w:val="right"/>
        <w:rPr>
          <w:i/>
        </w:rPr>
      </w:pPr>
    </w:p>
    <w:p w:rsidR="00E85D42" w:rsidRDefault="008113B9">
      <w:pPr>
        <w:tabs>
          <w:tab w:val="right" w:pos="9072"/>
        </w:tabs>
        <w:spacing w:after="120" w:line="276" w:lineRule="auto"/>
        <w:ind w:firstLine="709"/>
        <w:jc w:val="both"/>
        <w:rPr>
          <w:sz w:val="24"/>
          <w:szCs w:val="24"/>
        </w:rPr>
      </w:pPr>
      <w:r>
        <w:rPr>
          <w:sz w:val="24"/>
          <w:szCs w:val="24"/>
        </w:rPr>
        <w:t>3. Корректировка на передаваемые имущественные права.</w:t>
      </w:r>
    </w:p>
    <w:p w:rsidR="00E85D42" w:rsidRDefault="008113B9">
      <w:pPr>
        <w:tabs>
          <w:tab w:val="right" w:pos="9072"/>
        </w:tabs>
        <w:spacing w:after="120" w:line="276" w:lineRule="auto"/>
        <w:ind w:firstLine="709"/>
        <w:jc w:val="both"/>
        <w:rPr>
          <w:sz w:val="24"/>
          <w:szCs w:val="24"/>
        </w:rPr>
      </w:pPr>
      <w:r>
        <w:rPr>
          <w:sz w:val="24"/>
          <w:szCs w:val="24"/>
        </w:rPr>
        <w:t>Правовой статус объекта недвижимости играет ключевую роль в установлении</w:t>
      </w:r>
      <w:r>
        <w:rPr>
          <w:sz w:val="24"/>
          <w:szCs w:val="24"/>
        </w:rPr>
        <w:t xml:space="preserve"> его стоимости. Введение тех или иных ограничений на право собственности объективно снижает стоимость объекта недвижимости, а, следовательно, и цену продажи. </w:t>
      </w:r>
    </w:p>
    <w:p w:rsidR="00E85D42" w:rsidRDefault="008113B9">
      <w:pPr>
        <w:tabs>
          <w:tab w:val="right" w:pos="9072"/>
        </w:tabs>
        <w:spacing w:after="120" w:line="276" w:lineRule="auto"/>
        <w:ind w:firstLine="709"/>
        <w:jc w:val="both"/>
        <w:rPr>
          <w:rFonts w:eastAsia="Calibri"/>
          <w:sz w:val="24"/>
          <w:szCs w:val="24"/>
        </w:rPr>
      </w:pPr>
      <w:r>
        <w:rPr>
          <w:rFonts w:eastAsia="Calibri"/>
          <w:sz w:val="24"/>
          <w:szCs w:val="24"/>
        </w:rPr>
        <w:t>Корректировка принята в соответствии с данными специализированного справочника оценщика недвижимо</w:t>
      </w:r>
      <w:r>
        <w:rPr>
          <w:rFonts w:eastAsia="Calibri"/>
          <w:sz w:val="24"/>
          <w:szCs w:val="24"/>
        </w:rPr>
        <w:t>сти (Лейфер Л.А./ Справочник оценщика недвижимости - 2018. Земельные участки). Отношение цены земельных участков под ИЖС в долгосрочной аренде к удельной цене аналогичных участков в собственности составляет 0,86. Корректировка для объектов аналогов находящ</w:t>
      </w:r>
      <w:r>
        <w:rPr>
          <w:rFonts w:eastAsia="Calibri"/>
          <w:sz w:val="24"/>
          <w:szCs w:val="24"/>
        </w:rPr>
        <w:t>ихся в аренде составила 1/0,86 = 1,16. Корректировка для объектов аналогов в собственности не проводилась.</w:t>
      </w:r>
    </w:p>
    <w:p w:rsidR="00E85D42" w:rsidRDefault="008113B9">
      <w:pPr>
        <w:tabs>
          <w:tab w:val="right" w:pos="9072"/>
        </w:tabs>
        <w:spacing w:after="120" w:line="276" w:lineRule="auto"/>
        <w:jc w:val="center"/>
        <w:rPr>
          <w:rFonts w:eastAsia="Calibri"/>
          <w:i/>
        </w:rPr>
      </w:pPr>
      <w:r>
        <w:rPr>
          <w:rFonts w:eastAsia="Calibri"/>
          <w:i/>
        </w:rPr>
        <w:t>Таблица 3.2.15 Лейфер Л.А. Справочник оценщика недвижимости - 2018. Земельные участки</w:t>
      </w:r>
    </w:p>
    <w:p w:rsidR="00E85D42" w:rsidRDefault="008113B9">
      <w:pPr>
        <w:tabs>
          <w:tab w:val="right" w:pos="9072"/>
        </w:tabs>
        <w:spacing w:after="120" w:line="276" w:lineRule="auto"/>
        <w:jc w:val="center"/>
      </w:pPr>
      <w:r>
        <w:rPr>
          <w:noProof/>
        </w:rPr>
        <w:drawing>
          <wp:inline distT="0" distB="0" distL="0" distR="0">
            <wp:extent cx="3093433" cy="2391046"/>
            <wp:effectExtent l="0" t="0" r="0" b="9254"/>
            <wp:docPr id="12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rcRect b="46015"/>
                    <a:stretch>
                      <a:fillRect/>
                    </a:stretch>
                  </pic:blipFill>
                  <pic:spPr>
                    <a:xfrm>
                      <a:off x="0" y="0"/>
                      <a:ext cx="3093433" cy="2391046"/>
                    </a:xfrm>
                    <a:prstGeom prst="rect">
                      <a:avLst/>
                    </a:prstGeom>
                    <a:noFill/>
                    <a:ln>
                      <a:noFill/>
                      <a:prstDash/>
                    </a:ln>
                  </pic:spPr>
                </pic:pic>
              </a:graphicData>
            </a:graphic>
          </wp:inline>
        </w:drawing>
      </w:r>
    </w:p>
    <w:p w:rsidR="00E85D42" w:rsidRDefault="00E85D42">
      <w:pPr>
        <w:tabs>
          <w:tab w:val="right" w:pos="9072"/>
        </w:tabs>
        <w:spacing w:after="120" w:line="276" w:lineRule="auto"/>
        <w:rPr>
          <w:rFonts w:eastAsia="Calibri"/>
        </w:rPr>
      </w:pPr>
    </w:p>
    <w:p w:rsidR="00E85D42" w:rsidRDefault="008113B9">
      <w:pPr>
        <w:tabs>
          <w:tab w:val="right" w:pos="9072"/>
        </w:tabs>
        <w:spacing w:after="120" w:line="276" w:lineRule="auto"/>
        <w:ind w:firstLine="709"/>
        <w:jc w:val="both"/>
      </w:pPr>
      <w:r>
        <w:rPr>
          <w:rFonts w:eastAsia="Calibri"/>
          <w:sz w:val="24"/>
          <w:szCs w:val="24"/>
        </w:rPr>
        <w:t>4. Корректировка на площадь.</w:t>
      </w:r>
    </w:p>
    <w:p w:rsidR="00E85D42" w:rsidRDefault="008113B9">
      <w:pPr>
        <w:tabs>
          <w:tab w:val="right" w:pos="9072"/>
        </w:tabs>
        <w:spacing w:after="120" w:line="276" w:lineRule="auto"/>
        <w:ind w:firstLine="709"/>
        <w:jc w:val="both"/>
      </w:pPr>
      <w:r>
        <w:rPr>
          <w:rFonts w:eastAsia="Calibri"/>
          <w:sz w:val="24"/>
          <w:szCs w:val="24"/>
        </w:rPr>
        <w:t xml:space="preserve">Корректировка принята в </w:t>
      </w:r>
      <w:r>
        <w:rPr>
          <w:rFonts w:eastAsia="Calibri"/>
          <w:sz w:val="24"/>
          <w:szCs w:val="24"/>
        </w:rPr>
        <w:t xml:space="preserve">соответствии с данными специализированного справочника оценщика недвижимости (Лейфер Л.А./ Справочник оценщика недвижимости - 2018. Земельные участки). </w:t>
      </w:r>
    </w:p>
    <w:p w:rsidR="00E85D42" w:rsidRDefault="008113B9">
      <w:pPr>
        <w:tabs>
          <w:tab w:val="right" w:pos="9072"/>
        </w:tabs>
        <w:spacing w:after="120" w:line="276" w:lineRule="auto"/>
        <w:ind w:firstLine="709"/>
        <w:jc w:val="both"/>
      </w:pPr>
      <w:r>
        <w:rPr>
          <w:sz w:val="24"/>
          <w:szCs w:val="24"/>
        </w:rPr>
        <w:t>Для проведения данной корректировки, все объекты аналоги были разделены по численности населения муници</w:t>
      </w:r>
      <w:r>
        <w:rPr>
          <w:sz w:val="24"/>
          <w:szCs w:val="24"/>
        </w:rPr>
        <w:t>пального образования в котором расположен объект аналог (</w:t>
      </w:r>
      <w:r>
        <w:rPr>
          <w:color w:val="000000"/>
          <w:sz w:val="24"/>
          <w:szCs w:val="24"/>
        </w:rPr>
        <w:t>по данным официального сайта Территориального органа Федеральной службы государственной статистики по Республике Башкортостан)</w:t>
      </w:r>
      <w:r>
        <w:rPr>
          <w:sz w:val="24"/>
          <w:szCs w:val="24"/>
        </w:rPr>
        <w:t>.</w:t>
      </w:r>
    </w:p>
    <w:p w:rsidR="00E85D42" w:rsidRDefault="00E85D42">
      <w:pPr>
        <w:tabs>
          <w:tab w:val="right" w:pos="9072"/>
        </w:tabs>
        <w:spacing w:after="120" w:line="276" w:lineRule="auto"/>
        <w:rPr>
          <w:sz w:val="26"/>
          <w:szCs w:val="26"/>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E85D42">
      <w:pPr>
        <w:tabs>
          <w:tab w:val="right" w:pos="9072"/>
        </w:tabs>
        <w:spacing w:after="120" w:line="276" w:lineRule="auto"/>
        <w:jc w:val="right"/>
        <w:rPr>
          <w:rFonts w:eastAsia="Calibri"/>
          <w:i/>
        </w:rPr>
      </w:pPr>
    </w:p>
    <w:p w:rsidR="00E85D42" w:rsidRDefault="008113B9">
      <w:pPr>
        <w:tabs>
          <w:tab w:val="right" w:pos="9072"/>
        </w:tabs>
        <w:spacing w:after="120" w:line="276" w:lineRule="auto"/>
        <w:jc w:val="right"/>
        <w:rPr>
          <w:rFonts w:eastAsia="Calibri"/>
          <w:i/>
          <w:sz w:val="24"/>
          <w:szCs w:val="24"/>
        </w:rPr>
      </w:pPr>
      <w:r>
        <w:rPr>
          <w:rFonts w:eastAsia="Calibri"/>
          <w:i/>
          <w:sz w:val="24"/>
          <w:szCs w:val="24"/>
        </w:rPr>
        <w:t>Таблица 3.2.16 Численность населения РБ на 01.01.2018г.</w:t>
      </w:r>
    </w:p>
    <w:p w:rsidR="00E85D42" w:rsidRDefault="008113B9">
      <w:pPr>
        <w:tabs>
          <w:tab w:val="right" w:pos="9072"/>
        </w:tabs>
        <w:spacing w:after="120" w:line="276" w:lineRule="auto"/>
        <w:jc w:val="center"/>
      </w:pPr>
      <w:r>
        <w:rPr>
          <w:noProof/>
        </w:rPr>
        <w:drawing>
          <wp:inline distT="0" distB="0" distL="0" distR="0">
            <wp:extent cx="2678945" cy="3780001"/>
            <wp:effectExtent l="0" t="0" r="7105" b="0"/>
            <wp:docPr id="130"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2678945" cy="3780001"/>
                    </a:xfrm>
                    <a:prstGeom prst="rect">
                      <a:avLst/>
                    </a:prstGeom>
                    <a:noFill/>
                    <a:ln>
                      <a:noFill/>
                      <a:prstDash/>
                    </a:ln>
                  </pic:spPr>
                </pic:pic>
              </a:graphicData>
            </a:graphic>
          </wp:inline>
        </w:drawing>
      </w:r>
    </w:p>
    <w:p w:rsidR="00E85D42" w:rsidRDefault="008113B9">
      <w:pPr>
        <w:tabs>
          <w:tab w:val="right" w:pos="9072"/>
        </w:tabs>
        <w:spacing w:after="120" w:line="276" w:lineRule="auto"/>
        <w:ind w:firstLine="709"/>
        <w:rPr>
          <w:sz w:val="24"/>
          <w:szCs w:val="24"/>
        </w:rPr>
      </w:pPr>
      <w:r>
        <w:rPr>
          <w:sz w:val="24"/>
          <w:szCs w:val="24"/>
        </w:rPr>
        <w:t>В зависимости от численности населения в муниципальном образовании, в котором расположен объект аналог, была принята соответствующая корректировка.</w:t>
      </w:r>
    </w:p>
    <w:p w:rsidR="00E85D42" w:rsidRDefault="008113B9">
      <w:pPr>
        <w:tabs>
          <w:tab w:val="right" w:pos="9072"/>
        </w:tabs>
        <w:spacing w:after="120" w:line="276" w:lineRule="auto"/>
        <w:ind w:firstLine="709"/>
        <w:rPr>
          <w:sz w:val="24"/>
          <w:szCs w:val="24"/>
        </w:rPr>
      </w:pPr>
      <w:r>
        <w:rPr>
          <w:sz w:val="24"/>
          <w:szCs w:val="24"/>
        </w:rPr>
        <w:t xml:space="preserve">Так </w:t>
      </w:r>
      <w:bookmarkStart w:id="128" w:name="__DdeLink__37253_4190734992"/>
      <w:r>
        <w:rPr>
          <w:sz w:val="24"/>
          <w:szCs w:val="24"/>
        </w:rPr>
        <w:t>для объектов аналогов, расположенных в городах-миллионниках корректировки в зависимости от площади об</w:t>
      </w:r>
      <w:r>
        <w:rPr>
          <w:sz w:val="24"/>
          <w:szCs w:val="24"/>
        </w:rPr>
        <w:t>ъектов аналогов, составила:</w:t>
      </w:r>
      <w:bookmarkEnd w:id="128"/>
    </w:p>
    <w:p w:rsidR="00E85D42" w:rsidRDefault="008113B9">
      <w:pPr>
        <w:tabs>
          <w:tab w:val="right" w:pos="9072"/>
        </w:tabs>
        <w:spacing w:after="120" w:line="276" w:lineRule="auto"/>
        <w:jc w:val="right"/>
      </w:pPr>
      <w:r>
        <w:rPr>
          <w:rFonts w:eastAsia="Calibri"/>
          <w:i/>
          <w:sz w:val="24"/>
          <w:szCs w:val="24"/>
        </w:rPr>
        <w:t>Таблица 3.2.17 Лейфер Л.А. Справочник оценщика недвижимости - 2018. Земельные участки</w:t>
      </w:r>
    </w:p>
    <w:p w:rsidR="00E85D42" w:rsidRDefault="008113B9">
      <w:pPr>
        <w:tabs>
          <w:tab w:val="right" w:pos="9072"/>
        </w:tabs>
        <w:spacing w:after="120" w:line="276" w:lineRule="auto"/>
        <w:jc w:val="center"/>
      </w:pPr>
      <w:r>
        <w:rPr>
          <w:noProof/>
        </w:rPr>
        <w:drawing>
          <wp:inline distT="0" distB="0" distL="0" distR="0">
            <wp:extent cx="3221467" cy="3639211"/>
            <wp:effectExtent l="0" t="0" r="0" b="0"/>
            <wp:docPr id="131"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rcRect l="5938" t="3595" b="28518"/>
                    <a:stretch>
                      <a:fillRect/>
                    </a:stretch>
                  </pic:blipFill>
                  <pic:spPr>
                    <a:xfrm>
                      <a:off x="0" y="0"/>
                      <a:ext cx="3221467" cy="3639211"/>
                    </a:xfrm>
                    <a:prstGeom prst="rect">
                      <a:avLst/>
                    </a:prstGeom>
                    <a:noFill/>
                    <a:ln>
                      <a:noFill/>
                      <a:prstDash/>
                    </a:ln>
                  </pic:spPr>
                </pic:pic>
              </a:graphicData>
            </a:graphic>
          </wp:inline>
        </w:drawing>
      </w:r>
    </w:p>
    <w:p w:rsidR="00E85D42" w:rsidRDefault="00E85D42">
      <w:pPr>
        <w:tabs>
          <w:tab w:val="right" w:pos="9072"/>
        </w:tabs>
        <w:spacing w:after="120" w:line="276" w:lineRule="auto"/>
        <w:jc w:val="center"/>
        <w:rPr>
          <w:rFonts w:eastAsia="Calibri"/>
          <w:i/>
        </w:rPr>
      </w:pPr>
    </w:p>
    <w:p w:rsidR="00E85D42" w:rsidRDefault="008113B9">
      <w:pPr>
        <w:tabs>
          <w:tab w:val="right" w:pos="9072"/>
        </w:tabs>
        <w:spacing w:after="120" w:line="276" w:lineRule="auto"/>
        <w:ind w:firstLine="709"/>
        <w:rPr>
          <w:sz w:val="24"/>
          <w:szCs w:val="24"/>
        </w:rPr>
      </w:pPr>
      <w:r>
        <w:rPr>
          <w:sz w:val="24"/>
          <w:szCs w:val="24"/>
        </w:rPr>
        <w:t>Для объектов аналогов, расположенных в городах с численности населения до 500 тысяч человек, корректировки в зависимости от площади объекто</w:t>
      </w:r>
      <w:r>
        <w:rPr>
          <w:sz w:val="24"/>
          <w:szCs w:val="24"/>
        </w:rPr>
        <w:t>в аналогов составила:</w:t>
      </w:r>
    </w:p>
    <w:p w:rsidR="00E85D42" w:rsidRDefault="00E85D42">
      <w:pPr>
        <w:tabs>
          <w:tab w:val="right" w:pos="9072"/>
        </w:tabs>
        <w:spacing w:after="120" w:line="276" w:lineRule="auto"/>
        <w:jc w:val="right"/>
        <w:rPr>
          <w:rFonts w:eastAsia="Calibri"/>
          <w:i/>
        </w:rPr>
      </w:pPr>
    </w:p>
    <w:p w:rsidR="00E85D42" w:rsidRDefault="008113B9">
      <w:pPr>
        <w:tabs>
          <w:tab w:val="right" w:pos="9072"/>
        </w:tabs>
        <w:spacing w:after="120" w:line="276" w:lineRule="auto"/>
        <w:jc w:val="right"/>
      </w:pPr>
      <w:r>
        <w:rPr>
          <w:rFonts w:eastAsia="Calibri"/>
          <w:i/>
          <w:sz w:val="24"/>
          <w:szCs w:val="24"/>
        </w:rPr>
        <w:t>Таблица 3.2.18. Лейфер Л.А. Справочник оценщика недвижимости - 2018. Земельные участки</w:t>
      </w:r>
    </w:p>
    <w:p w:rsidR="00E85D42" w:rsidRDefault="008113B9">
      <w:pPr>
        <w:tabs>
          <w:tab w:val="right" w:pos="9072"/>
        </w:tabs>
        <w:spacing w:after="120" w:line="276" w:lineRule="auto"/>
        <w:jc w:val="center"/>
      </w:pPr>
      <w:r>
        <w:rPr>
          <w:noProof/>
        </w:rPr>
        <w:drawing>
          <wp:inline distT="0" distB="0" distL="0" distR="0">
            <wp:extent cx="3582189" cy="1450512"/>
            <wp:effectExtent l="0" t="0" r="0" b="0"/>
            <wp:docPr id="132"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rcRect l="18662" t="3974" r="6025" b="76561"/>
                    <a:stretch>
                      <a:fillRect/>
                    </a:stretch>
                  </pic:blipFill>
                  <pic:spPr>
                    <a:xfrm>
                      <a:off x="0" y="0"/>
                      <a:ext cx="3582189" cy="1450512"/>
                    </a:xfrm>
                    <a:prstGeom prst="rect">
                      <a:avLst/>
                    </a:prstGeom>
                    <a:noFill/>
                    <a:ln>
                      <a:noFill/>
                      <a:prstDash/>
                    </a:ln>
                  </pic:spPr>
                </pic:pic>
              </a:graphicData>
            </a:graphic>
          </wp:inline>
        </w:drawing>
      </w:r>
    </w:p>
    <w:p w:rsidR="00E85D42" w:rsidRDefault="00E85D42">
      <w:pPr>
        <w:tabs>
          <w:tab w:val="right" w:pos="9072"/>
        </w:tabs>
        <w:spacing w:after="120" w:line="276" w:lineRule="auto"/>
        <w:jc w:val="center"/>
        <w:rPr>
          <w:rFonts w:eastAsia="Calibri"/>
          <w:i/>
        </w:rPr>
      </w:pPr>
    </w:p>
    <w:p w:rsidR="00E85D42" w:rsidRDefault="008113B9">
      <w:pPr>
        <w:tabs>
          <w:tab w:val="right" w:pos="9072"/>
        </w:tabs>
        <w:spacing w:after="120" w:line="276" w:lineRule="auto"/>
        <w:ind w:firstLine="709"/>
        <w:jc w:val="center"/>
        <w:rPr>
          <w:b/>
          <w:sz w:val="24"/>
          <w:szCs w:val="24"/>
        </w:rPr>
      </w:pPr>
      <w:bookmarkStart w:id="129" w:name="_Toc518836628"/>
      <w:bookmarkStart w:id="130" w:name="_Toc514749507"/>
      <w:r>
        <w:rPr>
          <w:b/>
          <w:sz w:val="24"/>
          <w:szCs w:val="24"/>
        </w:rPr>
        <w:t>Оценочное зонирование сегмента «Садоводство и огородничество, малоэтажная жилая застройка»</w:t>
      </w:r>
      <w:bookmarkEnd w:id="129"/>
      <w:bookmarkEnd w:id="130"/>
      <w:r>
        <w:rPr>
          <w:b/>
          <w:sz w:val="24"/>
          <w:szCs w:val="24"/>
        </w:rPr>
        <w:t xml:space="preserve"> по Республике Башкортостан.</w:t>
      </w:r>
    </w:p>
    <w:p w:rsidR="00E85D42" w:rsidRDefault="008113B9">
      <w:pPr>
        <w:ind w:firstLine="709"/>
        <w:jc w:val="both"/>
        <w:rPr>
          <w:sz w:val="24"/>
          <w:szCs w:val="24"/>
        </w:rPr>
      </w:pPr>
      <w:r>
        <w:rPr>
          <w:sz w:val="24"/>
          <w:szCs w:val="24"/>
        </w:rPr>
        <w:t>В следующей таблице прив</w:t>
      </w:r>
      <w:r>
        <w:rPr>
          <w:sz w:val="24"/>
          <w:szCs w:val="24"/>
        </w:rPr>
        <w:t>едены значения минимальных, максимальных и средних удельных рыночных цен по муниципальным образованиям.</w:t>
      </w:r>
    </w:p>
    <w:p w:rsidR="00E85D42" w:rsidRDefault="008113B9">
      <w:pPr>
        <w:ind w:firstLine="720"/>
        <w:jc w:val="right"/>
      </w:pPr>
      <w:r>
        <w:rPr>
          <w:rFonts w:eastAsia="Calibri"/>
          <w:i/>
        </w:rPr>
        <w:t>Таблица 3.2.19 Диапазон и средние удельные рыночных цены по муниципальным образованиям.</w:t>
      </w:r>
    </w:p>
    <w:tbl>
      <w:tblPr>
        <w:tblW w:w="5000" w:type="pct"/>
        <w:tblLayout w:type="fixed"/>
        <w:tblCellMar>
          <w:left w:w="10" w:type="dxa"/>
          <w:right w:w="10" w:type="dxa"/>
        </w:tblCellMar>
        <w:tblLook w:val="04A0" w:firstRow="1" w:lastRow="0" w:firstColumn="1" w:lastColumn="0" w:noHBand="0" w:noVBand="1"/>
      </w:tblPr>
      <w:tblGrid>
        <w:gridCol w:w="4268"/>
        <w:gridCol w:w="1768"/>
        <w:gridCol w:w="1916"/>
        <w:gridCol w:w="1762"/>
      </w:tblGrid>
      <w:tr w:rsidR="00E85D42">
        <w:tblPrEx>
          <w:tblCellMar>
            <w:top w:w="0" w:type="dxa"/>
            <w:bottom w:w="0" w:type="dxa"/>
          </w:tblCellMar>
        </w:tblPrEx>
        <w:trPr>
          <w:trHeight w:val="300"/>
          <w:tblHeader/>
        </w:trPr>
        <w:tc>
          <w:tcPr>
            <w:tcW w:w="426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color w:val="000000"/>
              </w:rPr>
            </w:pPr>
            <w:r>
              <w:rPr>
                <w:color w:val="000000"/>
              </w:rPr>
              <w:t>Муниципальный район или городской округ</w:t>
            </w:r>
          </w:p>
        </w:tc>
        <w:tc>
          <w:tcPr>
            <w:tcW w:w="176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color w:val="000000"/>
              </w:rPr>
            </w:pPr>
            <w:r>
              <w:rPr>
                <w:color w:val="000000"/>
              </w:rPr>
              <w:t xml:space="preserve">Минимальная  цена, </w:t>
            </w:r>
            <w:r>
              <w:rPr>
                <w:color w:val="000000"/>
              </w:rPr>
              <w:t>руб./кв.м.</w:t>
            </w:r>
          </w:p>
        </w:tc>
        <w:tc>
          <w:tcPr>
            <w:tcW w:w="19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color w:val="000000"/>
              </w:rPr>
            </w:pPr>
            <w:r>
              <w:rPr>
                <w:color w:val="000000"/>
              </w:rPr>
              <w:t>Средняя цена, руб./кв.м.</w:t>
            </w:r>
          </w:p>
        </w:tc>
        <w:tc>
          <w:tcPr>
            <w:tcW w:w="17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color w:val="000000"/>
              </w:rPr>
            </w:pPr>
            <w:r>
              <w:rPr>
                <w:color w:val="000000"/>
              </w:rPr>
              <w:t>Максимальная цена, руб./кв.м.</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Агидель</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274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455</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792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Кумертау</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508</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1120</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ЗАТО Межгорье</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149</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292</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434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Нефтекамск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568</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1740</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Октябрьский</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990</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2564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Салават</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57</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807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3021</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Сибай</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467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1122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Стерлитамак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1142</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3362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Уфа</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27</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1035</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4854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Абзелиловский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269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812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Альшеевский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248</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733</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Архангельский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28</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186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569</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Аскинский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46</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231</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567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 xml:space="preserve">Аургазинский </w:t>
            </w:r>
            <w:r>
              <w:rPr>
                <w:color w:val="000000"/>
              </w:rPr>
              <w:t>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251</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869</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Баймакский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93</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257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454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Баймак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299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899</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Бакалинский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274</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699</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Балтачевский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124</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350</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Белебеевский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403</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1184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Белебей</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487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1387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Белокатайский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192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322</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416</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Белорецкий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26</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142</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855</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Белорецк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319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1862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Бижбулякский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359</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Бирский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244</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1017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Бирск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595</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1512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 xml:space="preserve">Благоварский </w:t>
            </w:r>
            <w:r>
              <w:rPr>
                <w:color w:val="000000"/>
              </w:rPr>
              <w:t>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164</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598</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Благовещенский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178</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462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Благовещенск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128</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486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1052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Буздякский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301</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770</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Бураевский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270</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740</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Бурзянский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219</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 xml:space="preserve">Гафурийский </w:t>
            </w:r>
            <w:r>
              <w:rPr>
                <w:color w:val="000000"/>
              </w:rPr>
              <w:t>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176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745</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Давлекановский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26</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794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Давлеканово</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432</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1234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Дуванский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256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816</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Дюртюлинский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154</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641</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Дюртюли</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143</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449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1501</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 xml:space="preserve">Ермекеевский муниципальный </w:t>
            </w:r>
            <w:r>
              <w:rPr>
                <w:color w:val="000000"/>
              </w:rPr>
              <w:t>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70</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437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Зианчуринский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865</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Зилаирский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197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651</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Иглинский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347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1506</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Илишевский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19</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781</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Ишимбайский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238</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1026</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Ишимбай</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759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3049</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Калтасинский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207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584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Караидельский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19</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213</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1052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Кармаскалинский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18</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333</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1257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Кигинский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185</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575</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Краснокамский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25</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196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799</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 xml:space="preserve">Кугарчинский </w:t>
            </w:r>
            <w:r>
              <w:rPr>
                <w:color w:val="000000"/>
              </w:rPr>
              <w:t>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236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539</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Кушнаренковский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37</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207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728</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Куюргазинский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545</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Мелеузовский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281</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1465</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Мелеуз</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188</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698</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1434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Мечетлинский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640</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 xml:space="preserve">Мишкинский </w:t>
            </w:r>
            <w:r>
              <w:rPr>
                <w:color w:val="000000"/>
              </w:rPr>
              <w:t>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180</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667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Миякинский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249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631</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Нуримановский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25</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111</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685</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Салаватский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48</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87</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174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Стерлибашевский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37</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526</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Стерлитамакский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434</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1583</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Татышлинский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19</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226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566</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Туймазинский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35</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261</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917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Туймазы</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290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1048</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2032</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Уфимский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758</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3585</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Учалинский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120</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534</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Учалы</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106</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226</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790</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 xml:space="preserve">Федоровский </w:t>
            </w:r>
            <w:r>
              <w:rPr>
                <w:color w:val="000000"/>
              </w:rPr>
              <w:t>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30</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332</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607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Хайбуллинский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46</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313</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847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Чекмагушевский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18</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279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668</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Чишминский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19</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351</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1193</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Шаранский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143</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593</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Янаульский муниципальный район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34</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104</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337</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город Янаул</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62</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372</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1310</w:t>
            </w:r>
          </w:p>
        </w:tc>
      </w:tr>
      <w:tr w:rsidR="00E85D42">
        <w:tblPrEx>
          <w:tblCellMar>
            <w:top w:w="0" w:type="dxa"/>
            <w:bottom w:w="0" w:type="dxa"/>
          </w:tblCellMar>
        </w:tblPrEx>
        <w:trPr>
          <w:trHeight w:val="300"/>
        </w:trPr>
        <w:tc>
          <w:tcPr>
            <w:tcW w:w="4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color w:val="000000"/>
                <w:lang w:val="en-US"/>
              </w:rPr>
            </w:pPr>
            <w:r>
              <w:rPr>
                <w:b/>
                <w:color w:val="000000"/>
                <w:lang w:val="en-US"/>
              </w:rPr>
              <w:t>Итого по Республике Башкортостан</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color w:val="000000"/>
                <w:lang w:val="en-US"/>
              </w:rPr>
            </w:pPr>
            <w:r>
              <w:rPr>
                <w:b/>
                <w:color w:val="000000"/>
                <w:lang w:val="en-US"/>
              </w:rPr>
              <w:t>11</w:t>
            </w:r>
          </w:p>
        </w:tc>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color w:val="000000"/>
                <w:lang w:val="en-US"/>
              </w:rPr>
            </w:pPr>
            <w:r>
              <w:rPr>
                <w:b/>
                <w:color w:val="000000"/>
                <w:lang w:val="en-US"/>
              </w:rPr>
              <w:t>329</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color w:val="000000"/>
                <w:lang w:val="en-US"/>
              </w:rPr>
            </w:pPr>
            <w:r>
              <w:rPr>
                <w:b/>
                <w:color w:val="000000"/>
                <w:lang w:val="en-US"/>
              </w:rPr>
              <w:t>4854</w:t>
            </w:r>
          </w:p>
        </w:tc>
      </w:tr>
    </w:tbl>
    <w:p w:rsidR="00E85D42" w:rsidRDefault="008113B9">
      <w:pPr>
        <w:spacing w:before="120" w:line="276" w:lineRule="auto"/>
        <w:ind w:firstLine="720"/>
        <w:jc w:val="both"/>
        <w:rPr>
          <w:sz w:val="24"/>
          <w:szCs w:val="24"/>
        </w:rPr>
      </w:pPr>
      <w:r>
        <w:rPr>
          <w:sz w:val="24"/>
          <w:szCs w:val="24"/>
        </w:rPr>
        <w:t xml:space="preserve">Общий диапазон удельных цен, ограничен значениями 11 и 4854 руб. за кв. м (с учетом допустимого округления). На следующем рисунке представлена частотная диаграмма распределения средних </w:t>
      </w:r>
      <w:r>
        <w:rPr>
          <w:sz w:val="24"/>
          <w:szCs w:val="24"/>
        </w:rPr>
        <w:t xml:space="preserve">удельных цен. Каждый столбец диаграммы показывает долю средних цен, приходящихся на соответствующий ценовой диапазон. </w:t>
      </w:r>
    </w:p>
    <w:p w:rsidR="00E85D42" w:rsidRDefault="008113B9">
      <w:pPr>
        <w:spacing w:before="120"/>
        <w:ind w:firstLine="720"/>
        <w:jc w:val="right"/>
      </w:pPr>
      <w:r>
        <w:rPr>
          <w:rFonts w:eastAsia="TimesNewRomanPSMT"/>
          <w:i/>
        </w:rPr>
        <w:t>Диаграмма 3.2.2. Распределение средних удельных цен.</w:t>
      </w:r>
    </w:p>
    <w:p w:rsidR="00E85D42" w:rsidRDefault="008113B9">
      <w:pPr>
        <w:spacing w:line="254" w:lineRule="auto"/>
        <w:jc w:val="center"/>
      </w:pPr>
      <w:r>
        <w:rPr>
          <w:noProof/>
        </w:rPr>
        <w:drawing>
          <wp:inline distT="0" distB="0" distL="0" distR="0">
            <wp:extent cx="4572000" cy="2743200"/>
            <wp:effectExtent l="0" t="0" r="0" b="0"/>
            <wp:docPr id="133"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rsidR="00E85D42" w:rsidRDefault="00E85D42">
      <w:pPr>
        <w:spacing w:line="254" w:lineRule="auto"/>
        <w:jc w:val="right"/>
        <w:rPr>
          <w:rFonts w:eastAsia="TimesNewRomanPSMT"/>
          <w:i/>
        </w:rPr>
      </w:pPr>
    </w:p>
    <w:p w:rsidR="00E85D42" w:rsidRDefault="008113B9">
      <w:pPr>
        <w:spacing w:line="276" w:lineRule="auto"/>
        <w:ind w:firstLine="720"/>
        <w:jc w:val="both"/>
      </w:pPr>
      <w:r>
        <w:rPr>
          <w:sz w:val="24"/>
          <w:szCs w:val="24"/>
        </w:rPr>
        <w:t>Таким образом, было построено 5 ценовых интервалов. Минимальные, максимальные и с</w:t>
      </w:r>
      <w:r>
        <w:rPr>
          <w:sz w:val="24"/>
          <w:szCs w:val="24"/>
        </w:rPr>
        <w:t>редние удельные цены для каждой ценовой зоны приведены в следующей таблице.</w:t>
      </w:r>
    </w:p>
    <w:p w:rsidR="00E85D42" w:rsidRDefault="008113B9">
      <w:pPr>
        <w:spacing w:line="254" w:lineRule="auto"/>
        <w:jc w:val="right"/>
      </w:pPr>
      <w:r>
        <w:rPr>
          <w:rFonts w:eastAsia="TimesNewRomanPSMT"/>
          <w:i/>
        </w:rPr>
        <w:t xml:space="preserve">Таблица 3.2.20 Минимальные, максимальные и средние цены в ценовых зонах для земельных участков </w:t>
      </w:r>
      <w:r>
        <w:rPr>
          <w:i/>
        </w:rPr>
        <w:t>садоводства, огородничества, индивидуальной жилой застройки, личного подсобного хозяй</w:t>
      </w:r>
      <w:r>
        <w:rPr>
          <w:i/>
        </w:rPr>
        <w:t>ства</w:t>
      </w:r>
    </w:p>
    <w:tbl>
      <w:tblPr>
        <w:tblW w:w="5000" w:type="pct"/>
        <w:tblCellMar>
          <w:left w:w="10" w:type="dxa"/>
          <w:right w:w="10" w:type="dxa"/>
        </w:tblCellMar>
        <w:tblLook w:val="04A0" w:firstRow="1" w:lastRow="0" w:firstColumn="1" w:lastColumn="0" w:noHBand="0" w:noVBand="1"/>
      </w:tblPr>
      <w:tblGrid>
        <w:gridCol w:w="2646"/>
        <w:gridCol w:w="2166"/>
        <w:gridCol w:w="2452"/>
        <w:gridCol w:w="2450"/>
      </w:tblGrid>
      <w:tr w:rsidR="00E85D42">
        <w:tblPrEx>
          <w:tblCellMar>
            <w:top w:w="0" w:type="dxa"/>
            <w:bottom w:w="0" w:type="dxa"/>
          </w:tblCellMar>
        </w:tblPrEx>
        <w:trPr>
          <w:trHeight w:val="315"/>
        </w:trPr>
        <w:tc>
          <w:tcPr>
            <w:tcW w:w="264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Ценовая зона</w:t>
            </w:r>
          </w:p>
        </w:tc>
        <w:tc>
          <w:tcPr>
            <w:tcW w:w="216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Минимальная цена</w:t>
            </w:r>
          </w:p>
        </w:tc>
        <w:tc>
          <w:tcPr>
            <w:tcW w:w="245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Максимальная цена</w:t>
            </w:r>
          </w:p>
        </w:tc>
        <w:tc>
          <w:tcPr>
            <w:tcW w:w="245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Средняя цена</w:t>
            </w:r>
          </w:p>
        </w:tc>
      </w:tr>
      <w:tr w:rsidR="00E85D42">
        <w:tblPrEx>
          <w:tblCellMar>
            <w:top w:w="0" w:type="dxa"/>
            <w:bottom w:w="0" w:type="dxa"/>
          </w:tblCellMar>
        </w:tblPrEx>
        <w:trPr>
          <w:trHeight w:val="315"/>
        </w:trPr>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 зона</w:t>
            </w:r>
          </w:p>
        </w:tc>
        <w:tc>
          <w:tcPr>
            <w:tcW w:w="21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690</w:t>
            </w:r>
          </w:p>
        </w:tc>
        <w:tc>
          <w:tcPr>
            <w:tcW w:w="24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1 142</w:t>
            </w:r>
          </w:p>
        </w:tc>
        <w:tc>
          <w:tcPr>
            <w:tcW w:w="24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905</w:t>
            </w:r>
          </w:p>
        </w:tc>
      </w:tr>
      <w:tr w:rsidR="00E85D42">
        <w:tblPrEx>
          <w:tblCellMar>
            <w:top w:w="0" w:type="dxa"/>
            <w:bottom w:w="0" w:type="dxa"/>
          </w:tblCellMar>
        </w:tblPrEx>
        <w:trPr>
          <w:trHeight w:val="315"/>
        </w:trPr>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 зона</w:t>
            </w:r>
          </w:p>
        </w:tc>
        <w:tc>
          <w:tcPr>
            <w:tcW w:w="21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370</w:t>
            </w:r>
          </w:p>
        </w:tc>
        <w:tc>
          <w:tcPr>
            <w:tcW w:w="24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595</w:t>
            </w:r>
          </w:p>
        </w:tc>
        <w:tc>
          <w:tcPr>
            <w:tcW w:w="24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471</w:t>
            </w:r>
          </w:p>
        </w:tc>
      </w:tr>
      <w:tr w:rsidR="00E85D42">
        <w:tblPrEx>
          <w:tblCellMar>
            <w:top w:w="0" w:type="dxa"/>
            <w:bottom w:w="0" w:type="dxa"/>
          </w:tblCellMar>
        </w:tblPrEx>
        <w:trPr>
          <w:trHeight w:val="315"/>
        </w:trPr>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 зона</w:t>
            </w:r>
          </w:p>
        </w:tc>
        <w:tc>
          <w:tcPr>
            <w:tcW w:w="21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226</w:t>
            </w:r>
          </w:p>
        </w:tc>
        <w:tc>
          <w:tcPr>
            <w:tcW w:w="24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351</w:t>
            </w:r>
          </w:p>
        </w:tc>
        <w:tc>
          <w:tcPr>
            <w:tcW w:w="24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275</w:t>
            </w:r>
          </w:p>
        </w:tc>
      </w:tr>
      <w:tr w:rsidR="00E85D42">
        <w:tblPrEx>
          <w:tblCellMar>
            <w:top w:w="0" w:type="dxa"/>
            <w:bottom w:w="0" w:type="dxa"/>
          </w:tblCellMar>
        </w:tblPrEx>
        <w:trPr>
          <w:trHeight w:val="315"/>
        </w:trPr>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 зона</w:t>
            </w:r>
          </w:p>
        </w:tc>
        <w:tc>
          <w:tcPr>
            <w:tcW w:w="21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137</w:t>
            </w:r>
          </w:p>
        </w:tc>
        <w:tc>
          <w:tcPr>
            <w:tcW w:w="24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213</w:t>
            </w:r>
          </w:p>
        </w:tc>
        <w:tc>
          <w:tcPr>
            <w:tcW w:w="24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176</w:t>
            </w:r>
          </w:p>
        </w:tc>
      </w:tr>
      <w:tr w:rsidR="00E85D42">
        <w:tblPrEx>
          <w:tblCellMar>
            <w:top w:w="0" w:type="dxa"/>
            <w:bottom w:w="0" w:type="dxa"/>
          </w:tblCellMar>
        </w:tblPrEx>
        <w:trPr>
          <w:trHeight w:val="315"/>
        </w:trPr>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 зона</w:t>
            </w:r>
          </w:p>
        </w:tc>
        <w:tc>
          <w:tcPr>
            <w:tcW w:w="216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69</w:t>
            </w:r>
          </w:p>
        </w:tc>
        <w:tc>
          <w:tcPr>
            <w:tcW w:w="24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124</w:t>
            </w:r>
          </w:p>
        </w:tc>
        <w:tc>
          <w:tcPr>
            <w:tcW w:w="24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96</w:t>
            </w:r>
          </w:p>
        </w:tc>
      </w:tr>
    </w:tbl>
    <w:p w:rsidR="00E85D42" w:rsidRDefault="008113B9">
      <w:pPr>
        <w:spacing w:before="120" w:line="276" w:lineRule="auto"/>
        <w:ind w:firstLine="720"/>
        <w:jc w:val="both"/>
        <w:rPr>
          <w:sz w:val="24"/>
          <w:szCs w:val="24"/>
        </w:rPr>
      </w:pPr>
      <w:r>
        <w:rPr>
          <w:sz w:val="24"/>
          <w:szCs w:val="24"/>
        </w:rPr>
        <w:t xml:space="preserve">По результатам оценочного зонирования территории Республики Башкортостан, составлена </w:t>
      </w:r>
      <w:r>
        <w:rPr>
          <w:sz w:val="24"/>
          <w:szCs w:val="24"/>
        </w:rPr>
        <w:t>цветовая схема ценовых зон. Границы ценовых зон на данной схеме определяются изменением цветовой окраски, отвечающей каждому ценовому диапазону, как это отражено в пояснениях к диаграмме. Как видно на схеме оценочного зонирования, наиболее дорогие земельны</w:t>
      </w:r>
      <w:r>
        <w:rPr>
          <w:sz w:val="24"/>
          <w:szCs w:val="24"/>
        </w:rPr>
        <w:t>е участки, относящиеся к 1 ценовой зоне, расположены в границах крупных населенных пунктах.</w:t>
      </w:r>
    </w:p>
    <w:p w:rsidR="00E85D42" w:rsidRDefault="00E85D42">
      <w:pPr>
        <w:spacing w:before="120" w:line="276" w:lineRule="auto"/>
        <w:ind w:firstLine="720"/>
        <w:rPr>
          <w:sz w:val="26"/>
          <w:szCs w:val="26"/>
        </w:rPr>
      </w:pPr>
    </w:p>
    <w:p w:rsidR="00E85D42" w:rsidRDefault="008113B9">
      <w:pPr>
        <w:spacing w:before="120" w:line="276" w:lineRule="auto"/>
        <w:ind w:firstLine="720"/>
        <w:jc w:val="right"/>
      </w:pPr>
      <w:r>
        <w:rPr>
          <w:rFonts w:eastAsia="Calibri"/>
          <w:i/>
        </w:rPr>
        <w:t>Рисунок 3.2.3. Схема оценочного зонирования территории Республики Башкортостан по сегменту «Садоводство и огородничество, малоэтажная жилая застройка»</w:t>
      </w:r>
    </w:p>
    <w:p w:rsidR="00E85D42" w:rsidRDefault="008113B9">
      <w:pPr>
        <w:tabs>
          <w:tab w:val="right" w:pos="9072"/>
        </w:tabs>
        <w:spacing w:after="120" w:line="276" w:lineRule="auto"/>
        <w:jc w:val="center"/>
      </w:pPr>
      <w:r>
        <w:rPr>
          <w:noProof/>
        </w:rPr>
        <w:drawing>
          <wp:inline distT="0" distB="0" distL="0" distR="0">
            <wp:extent cx="5940427" cy="7445812"/>
            <wp:effectExtent l="0" t="0" r="3173" b="2738"/>
            <wp:docPr id="134" name="Рисунок 44" descr="Z:\!Елсукова Н.Н\ИЖС\Зонирование\Зонирование РБ\ПО МР, ГО и Городам\Зонирование (окончательный вариант) - по зонам.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rcRect/>
                    <a:stretch>
                      <a:fillRect/>
                    </a:stretch>
                  </pic:blipFill>
                  <pic:spPr>
                    <a:xfrm>
                      <a:off x="0" y="0"/>
                      <a:ext cx="5940427" cy="7445812"/>
                    </a:xfrm>
                    <a:prstGeom prst="rect">
                      <a:avLst/>
                    </a:prstGeom>
                    <a:noFill/>
                    <a:ln>
                      <a:noFill/>
                      <a:prstDash/>
                    </a:ln>
                  </pic:spPr>
                </pic:pic>
              </a:graphicData>
            </a:graphic>
          </wp:inline>
        </w:drawing>
      </w:r>
    </w:p>
    <w:p w:rsidR="00E85D42" w:rsidRDefault="00E85D42">
      <w:pPr>
        <w:spacing w:line="254" w:lineRule="auto"/>
        <w:jc w:val="center"/>
        <w:rPr>
          <w:rFonts w:eastAsia="Calibri"/>
          <w:i/>
        </w:rPr>
      </w:pPr>
    </w:p>
    <w:p w:rsidR="00E85D42" w:rsidRDefault="00E85D42">
      <w:pPr>
        <w:tabs>
          <w:tab w:val="right" w:pos="9072"/>
        </w:tabs>
        <w:spacing w:after="120" w:line="276" w:lineRule="auto"/>
      </w:pPr>
    </w:p>
    <w:p w:rsidR="00E85D42" w:rsidRDefault="00E85D42">
      <w:pPr>
        <w:spacing w:after="120" w:line="276" w:lineRule="auto"/>
        <w:ind w:firstLine="708"/>
      </w:pPr>
    </w:p>
    <w:p w:rsidR="00E85D42" w:rsidRDefault="00E85D42">
      <w:pPr>
        <w:spacing w:after="120" w:line="276" w:lineRule="auto"/>
        <w:ind w:firstLine="708"/>
      </w:pPr>
    </w:p>
    <w:p w:rsidR="00E85D42" w:rsidRDefault="00E85D42">
      <w:pPr>
        <w:spacing w:after="120" w:line="276" w:lineRule="auto"/>
        <w:ind w:firstLine="708"/>
      </w:pPr>
    </w:p>
    <w:p w:rsidR="00E85D42" w:rsidRDefault="00E85D42">
      <w:pPr>
        <w:spacing w:after="120" w:line="276" w:lineRule="auto"/>
        <w:ind w:firstLine="708"/>
      </w:pPr>
    </w:p>
    <w:p w:rsidR="00E85D42" w:rsidRDefault="00E85D42">
      <w:pPr>
        <w:spacing w:after="120" w:line="276" w:lineRule="auto"/>
        <w:ind w:firstLine="708"/>
      </w:pPr>
    </w:p>
    <w:p w:rsidR="00E85D42" w:rsidRDefault="008113B9">
      <w:pPr>
        <w:tabs>
          <w:tab w:val="right" w:pos="9072"/>
        </w:tabs>
        <w:spacing w:after="120" w:line="276" w:lineRule="auto"/>
        <w:ind w:firstLine="709"/>
        <w:jc w:val="center"/>
      </w:pPr>
      <w:r>
        <w:rPr>
          <w:b/>
          <w:sz w:val="24"/>
          <w:szCs w:val="24"/>
        </w:rPr>
        <w:t>Оценочное зонирование сегмента «Садоводство и огородничество, малоэтажная жилая застройка» в городе Уфа</w:t>
      </w:r>
    </w:p>
    <w:p w:rsidR="00E85D42" w:rsidRDefault="008113B9">
      <w:pPr>
        <w:spacing w:line="276" w:lineRule="auto"/>
        <w:ind w:firstLine="709"/>
        <w:jc w:val="both"/>
        <w:rPr>
          <w:sz w:val="24"/>
          <w:szCs w:val="24"/>
        </w:rPr>
      </w:pPr>
      <w:r>
        <w:rPr>
          <w:sz w:val="24"/>
          <w:szCs w:val="24"/>
        </w:rPr>
        <w:t>Для проведения оценочного зонирования в городе Уфа было использовано 402 единиц рыночной информации.</w:t>
      </w:r>
    </w:p>
    <w:p w:rsidR="00E85D42" w:rsidRDefault="008113B9">
      <w:pPr>
        <w:widowControl w:val="0"/>
        <w:autoSpaceDE w:val="0"/>
        <w:spacing w:line="276" w:lineRule="auto"/>
        <w:ind w:firstLine="709"/>
        <w:jc w:val="both"/>
        <w:rPr>
          <w:rFonts w:eastAsia="Calibri"/>
          <w:sz w:val="24"/>
          <w:szCs w:val="24"/>
        </w:rPr>
      </w:pPr>
      <w:r>
        <w:rPr>
          <w:rFonts w:eastAsia="Calibri"/>
          <w:sz w:val="24"/>
          <w:szCs w:val="24"/>
        </w:rPr>
        <w:t>В соответствии с п.п.6.2 и 6.9 Указаний по результа</w:t>
      </w:r>
      <w:r>
        <w:rPr>
          <w:rFonts w:eastAsia="Calibri"/>
          <w:sz w:val="24"/>
          <w:szCs w:val="24"/>
        </w:rPr>
        <w:t xml:space="preserve">там оценочного зонирования для предоставления информации о сложившейся на дату определения кадастровой стоимости ситуации в сегменте рынка недвижимости – земельные участки, предназначенные для садоводства, огородничества, а также индивидуального жилищного </w:t>
      </w:r>
      <w:r>
        <w:rPr>
          <w:rFonts w:eastAsia="Calibri"/>
          <w:sz w:val="24"/>
          <w:szCs w:val="24"/>
        </w:rPr>
        <w:t>строительства и ведения личного подсобного хозяйства в городе Уфа, составлена цифровая тематические карта (схема) ценовых зон.</w:t>
      </w:r>
    </w:p>
    <w:p w:rsidR="00E85D42" w:rsidRDefault="008113B9">
      <w:pPr>
        <w:widowControl w:val="0"/>
        <w:autoSpaceDE w:val="0"/>
        <w:spacing w:line="276" w:lineRule="auto"/>
        <w:ind w:firstLine="709"/>
        <w:jc w:val="both"/>
        <w:rPr>
          <w:rFonts w:eastAsia="Calibri"/>
          <w:sz w:val="24"/>
          <w:szCs w:val="24"/>
        </w:rPr>
      </w:pPr>
      <w:r>
        <w:rPr>
          <w:rFonts w:eastAsia="Calibri"/>
          <w:sz w:val="24"/>
          <w:szCs w:val="24"/>
        </w:rPr>
        <w:t>Границы ценовых зон были установлены и описаны с помощью геоинформационной системы MapInfo.</w:t>
      </w:r>
    </w:p>
    <w:p w:rsidR="00E85D42" w:rsidRDefault="008113B9">
      <w:pPr>
        <w:ind w:firstLine="709"/>
        <w:jc w:val="both"/>
        <w:rPr>
          <w:sz w:val="24"/>
          <w:szCs w:val="24"/>
        </w:rPr>
      </w:pPr>
      <w:r>
        <w:rPr>
          <w:sz w:val="24"/>
          <w:szCs w:val="24"/>
        </w:rPr>
        <w:t>В следующей таблице приведены значени</w:t>
      </w:r>
      <w:r>
        <w:rPr>
          <w:sz w:val="24"/>
          <w:szCs w:val="24"/>
        </w:rPr>
        <w:t>я минимальных, максимальных и средних удельных рыночных цен в городе Уфа по районам.</w:t>
      </w:r>
    </w:p>
    <w:p w:rsidR="00E85D42" w:rsidRDefault="008113B9">
      <w:pPr>
        <w:ind w:firstLine="720"/>
        <w:jc w:val="right"/>
        <w:rPr>
          <w:rFonts w:eastAsia="Calibri"/>
          <w:i/>
        </w:rPr>
      </w:pPr>
      <w:r>
        <w:rPr>
          <w:rFonts w:eastAsia="Calibri"/>
          <w:i/>
        </w:rPr>
        <w:t>Таблица 3.2.21. Диапазон и средние удельные рыночных цены в городе Уфа по районам.</w:t>
      </w:r>
    </w:p>
    <w:tbl>
      <w:tblPr>
        <w:tblW w:w="9345" w:type="dxa"/>
        <w:tblInd w:w="-10" w:type="dxa"/>
        <w:tblCellMar>
          <w:left w:w="10" w:type="dxa"/>
          <w:right w:w="10" w:type="dxa"/>
        </w:tblCellMar>
        <w:tblLook w:val="04A0" w:firstRow="1" w:lastRow="0" w:firstColumn="1" w:lastColumn="0" w:noHBand="0" w:noVBand="1"/>
      </w:tblPr>
      <w:tblGrid>
        <w:gridCol w:w="2445"/>
        <w:gridCol w:w="2327"/>
        <w:gridCol w:w="2174"/>
        <w:gridCol w:w="2399"/>
      </w:tblGrid>
      <w:tr w:rsidR="00E85D42">
        <w:tblPrEx>
          <w:tblCellMar>
            <w:top w:w="0" w:type="dxa"/>
            <w:bottom w:w="0" w:type="dxa"/>
          </w:tblCellMar>
        </w:tblPrEx>
        <w:trPr>
          <w:trHeight w:val="315"/>
        </w:trPr>
        <w:tc>
          <w:tcPr>
            <w:tcW w:w="2445" w:type="dxa"/>
            <w:tcBorders>
              <w:top w:val="single" w:sz="8" w:space="0" w:color="000000"/>
              <w:left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center"/>
          </w:tcPr>
          <w:p w:rsidR="00E85D42" w:rsidRDefault="008113B9">
            <w:pPr>
              <w:jc w:val="center"/>
              <w:rPr>
                <w:color w:val="000000"/>
              </w:rPr>
            </w:pPr>
            <w:r>
              <w:rPr>
                <w:color w:val="000000"/>
              </w:rPr>
              <w:t>Районы</w:t>
            </w:r>
          </w:p>
        </w:tc>
        <w:tc>
          <w:tcPr>
            <w:tcW w:w="2327" w:type="dxa"/>
            <w:tcBorders>
              <w:top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center"/>
          </w:tcPr>
          <w:p w:rsidR="00E85D42" w:rsidRDefault="008113B9">
            <w:pPr>
              <w:jc w:val="center"/>
              <w:rPr>
                <w:color w:val="000000"/>
              </w:rPr>
            </w:pPr>
            <w:r>
              <w:rPr>
                <w:color w:val="000000"/>
              </w:rPr>
              <w:t>Минимальная  цена, руб./кв.м.</w:t>
            </w:r>
          </w:p>
        </w:tc>
        <w:tc>
          <w:tcPr>
            <w:tcW w:w="2174" w:type="dxa"/>
            <w:tcBorders>
              <w:top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center"/>
          </w:tcPr>
          <w:p w:rsidR="00E85D42" w:rsidRDefault="008113B9">
            <w:pPr>
              <w:jc w:val="center"/>
              <w:rPr>
                <w:color w:val="000000"/>
              </w:rPr>
            </w:pPr>
            <w:r>
              <w:rPr>
                <w:color w:val="000000"/>
              </w:rPr>
              <w:t>Средняя цена, руб./кв.м.</w:t>
            </w:r>
          </w:p>
        </w:tc>
        <w:tc>
          <w:tcPr>
            <w:tcW w:w="2399" w:type="dxa"/>
            <w:tcBorders>
              <w:top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center"/>
          </w:tcPr>
          <w:p w:rsidR="00E85D42" w:rsidRDefault="008113B9">
            <w:pPr>
              <w:jc w:val="center"/>
              <w:rPr>
                <w:color w:val="000000"/>
              </w:rPr>
            </w:pPr>
            <w:r>
              <w:rPr>
                <w:color w:val="000000"/>
              </w:rPr>
              <w:t xml:space="preserve">Максимальная цена, </w:t>
            </w:r>
            <w:r>
              <w:rPr>
                <w:color w:val="000000"/>
              </w:rPr>
              <w:t>руб./кв.м.</w:t>
            </w:r>
          </w:p>
        </w:tc>
      </w:tr>
      <w:tr w:rsidR="00E85D42">
        <w:tblPrEx>
          <w:tblCellMar>
            <w:top w:w="0" w:type="dxa"/>
            <w:bottom w:w="0" w:type="dxa"/>
          </w:tblCellMar>
        </w:tblPrEx>
        <w:trPr>
          <w:trHeight w:val="315"/>
        </w:trPr>
        <w:tc>
          <w:tcPr>
            <w:tcW w:w="2445"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Ленинский</w:t>
            </w:r>
          </w:p>
        </w:tc>
        <w:tc>
          <w:tcPr>
            <w:tcW w:w="2327"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323</w:t>
            </w:r>
          </w:p>
        </w:tc>
        <w:tc>
          <w:tcPr>
            <w:tcW w:w="2174"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1833</w:t>
            </w:r>
          </w:p>
        </w:tc>
        <w:tc>
          <w:tcPr>
            <w:tcW w:w="239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4854</w:t>
            </w:r>
          </w:p>
        </w:tc>
      </w:tr>
      <w:tr w:rsidR="00E85D42">
        <w:tblPrEx>
          <w:tblCellMar>
            <w:top w:w="0" w:type="dxa"/>
            <w:bottom w:w="0" w:type="dxa"/>
          </w:tblCellMar>
        </w:tblPrEx>
        <w:trPr>
          <w:trHeight w:val="315"/>
        </w:trPr>
        <w:tc>
          <w:tcPr>
            <w:tcW w:w="2445"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Демский</w:t>
            </w:r>
          </w:p>
        </w:tc>
        <w:tc>
          <w:tcPr>
            <w:tcW w:w="2327"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83</w:t>
            </w:r>
          </w:p>
        </w:tc>
        <w:tc>
          <w:tcPr>
            <w:tcW w:w="2174"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736</w:t>
            </w:r>
          </w:p>
        </w:tc>
        <w:tc>
          <w:tcPr>
            <w:tcW w:w="239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3395</w:t>
            </w:r>
          </w:p>
        </w:tc>
      </w:tr>
      <w:tr w:rsidR="00E85D42">
        <w:tblPrEx>
          <w:tblCellMar>
            <w:top w:w="0" w:type="dxa"/>
            <w:bottom w:w="0" w:type="dxa"/>
          </w:tblCellMar>
        </w:tblPrEx>
        <w:trPr>
          <w:trHeight w:val="315"/>
        </w:trPr>
        <w:tc>
          <w:tcPr>
            <w:tcW w:w="2445"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Кировский</w:t>
            </w:r>
          </w:p>
        </w:tc>
        <w:tc>
          <w:tcPr>
            <w:tcW w:w="2327"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77</w:t>
            </w:r>
          </w:p>
        </w:tc>
        <w:tc>
          <w:tcPr>
            <w:tcW w:w="2174"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1701</w:t>
            </w:r>
          </w:p>
        </w:tc>
        <w:tc>
          <w:tcPr>
            <w:tcW w:w="239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4744</w:t>
            </w:r>
          </w:p>
        </w:tc>
      </w:tr>
      <w:tr w:rsidR="00E85D42">
        <w:tblPrEx>
          <w:tblCellMar>
            <w:top w:w="0" w:type="dxa"/>
            <w:bottom w:w="0" w:type="dxa"/>
          </w:tblCellMar>
        </w:tblPrEx>
        <w:trPr>
          <w:trHeight w:val="315"/>
        </w:trPr>
        <w:tc>
          <w:tcPr>
            <w:tcW w:w="2445"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Октябрьский</w:t>
            </w:r>
          </w:p>
        </w:tc>
        <w:tc>
          <w:tcPr>
            <w:tcW w:w="2327"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90</w:t>
            </w:r>
          </w:p>
        </w:tc>
        <w:tc>
          <w:tcPr>
            <w:tcW w:w="2174"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947</w:t>
            </w:r>
          </w:p>
        </w:tc>
        <w:tc>
          <w:tcPr>
            <w:tcW w:w="239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3559</w:t>
            </w:r>
          </w:p>
        </w:tc>
      </w:tr>
      <w:tr w:rsidR="00E85D42">
        <w:tblPrEx>
          <w:tblCellMar>
            <w:top w:w="0" w:type="dxa"/>
            <w:bottom w:w="0" w:type="dxa"/>
          </w:tblCellMar>
        </w:tblPrEx>
        <w:trPr>
          <w:trHeight w:val="315"/>
        </w:trPr>
        <w:tc>
          <w:tcPr>
            <w:tcW w:w="2445"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Калининский</w:t>
            </w:r>
          </w:p>
        </w:tc>
        <w:tc>
          <w:tcPr>
            <w:tcW w:w="2327"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27</w:t>
            </w:r>
          </w:p>
        </w:tc>
        <w:tc>
          <w:tcPr>
            <w:tcW w:w="2174"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615</w:t>
            </w:r>
          </w:p>
        </w:tc>
        <w:tc>
          <w:tcPr>
            <w:tcW w:w="239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3434</w:t>
            </w:r>
          </w:p>
        </w:tc>
      </w:tr>
      <w:tr w:rsidR="00E85D42">
        <w:tblPrEx>
          <w:tblCellMar>
            <w:top w:w="0" w:type="dxa"/>
            <w:bottom w:w="0" w:type="dxa"/>
          </w:tblCellMar>
        </w:tblPrEx>
        <w:trPr>
          <w:trHeight w:val="315"/>
        </w:trPr>
        <w:tc>
          <w:tcPr>
            <w:tcW w:w="2445"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Орджоникидзевский</w:t>
            </w:r>
          </w:p>
        </w:tc>
        <w:tc>
          <w:tcPr>
            <w:tcW w:w="2327"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63</w:t>
            </w:r>
          </w:p>
        </w:tc>
        <w:tc>
          <w:tcPr>
            <w:tcW w:w="2174"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921</w:t>
            </w:r>
          </w:p>
        </w:tc>
        <w:tc>
          <w:tcPr>
            <w:tcW w:w="239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2985</w:t>
            </w:r>
          </w:p>
        </w:tc>
      </w:tr>
      <w:tr w:rsidR="00E85D42">
        <w:tblPrEx>
          <w:tblCellMar>
            <w:top w:w="0" w:type="dxa"/>
            <w:bottom w:w="0" w:type="dxa"/>
          </w:tblCellMar>
        </w:tblPrEx>
        <w:trPr>
          <w:trHeight w:val="315"/>
        </w:trPr>
        <w:tc>
          <w:tcPr>
            <w:tcW w:w="2445"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Советский</w:t>
            </w:r>
          </w:p>
        </w:tc>
        <w:tc>
          <w:tcPr>
            <w:tcW w:w="2327"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567</w:t>
            </w:r>
          </w:p>
        </w:tc>
        <w:tc>
          <w:tcPr>
            <w:tcW w:w="2174"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1181</w:t>
            </w:r>
          </w:p>
        </w:tc>
        <w:tc>
          <w:tcPr>
            <w:tcW w:w="239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1667</w:t>
            </w:r>
          </w:p>
        </w:tc>
      </w:tr>
    </w:tbl>
    <w:p w:rsidR="00E85D42" w:rsidRDefault="00E85D42">
      <w:pPr>
        <w:ind w:firstLine="720"/>
        <w:jc w:val="right"/>
      </w:pPr>
    </w:p>
    <w:p w:rsidR="00E85D42" w:rsidRDefault="008113B9">
      <w:pPr>
        <w:spacing w:before="120" w:line="276" w:lineRule="auto"/>
        <w:ind w:firstLine="720"/>
        <w:jc w:val="both"/>
        <w:rPr>
          <w:sz w:val="24"/>
          <w:szCs w:val="24"/>
        </w:rPr>
      </w:pPr>
      <w:r>
        <w:rPr>
          <w:sz w:val="24"/>
          <w:szCs w:val="24"/>
        </w:rPr>
        <w:t>Общий диапазон удельных цен, ограничен значениями 27 и 4854 руб. за</w:t>
      </w:r>
      <w:r>
        <w:rPr>
          <w:sz w:val="24"/>
          <w:szCs w:val="24"/>
        </w:rPr>
        <w:t xml:space="preserve"> кв. м (с учетом допустимого округления). На следующем рисунке представлена частотная диаграмма распределения средних удельных цен. Каждый столбец диаграммы показывает долю средних цен, приходящихся на соответствующий ценовой диапазон. </w:t>
      </w: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E85D42">
      <w:pPr>
        <w:spacing w:before="120"/>
        <w:ind w:firstLine="720"/>
        <w:jc w:val="right"/>
        <w:rPr>
          <w:rFonts w:eastAsia="TimesNewRomanPSMT"/>
          <w:i/>
        </w:rPr>
      </w:pPr>
    </w:p>
    <w:p w:rsidR="00E85D42" w:rsidRDefault="008113B9">
      <w:pPr>
        <w:spacing w:before="120"/>
        <w:ind w:firstLine="720"/>
        <w:jc w:val="right"/>
      </w:pPr>
      <w:r>
        <w:rPr>
          <w:rFonts w:eastAsia="TimesNewRomanPSMT"/>
          <w:i/>
          <w:sz w:val="24"/>
          <w:szCs w:val="24"/>
        </w:rPr>
        <w:t>Диаграмма 3.2.3. Распределение средних удельных цен</w:t>
      </w:r>
      <w:r>
        <w:rPr>
          <w:rFonts w:eastAsia="TimesNewRomanPSMT"/>
          <w:i/>
        </w:rPr>
        <w:t>.</w:t>
      </w:r>
    </w:p>
    <w:p w:rsidR="00E85D42" w:rsidRDefault="008113B9">
      <w:pPr>
        <w:spacing w:line="254" w:lineRule="auto"/>
        <w:jc w:val="center"/>
      </w:pPr>
      <w:r>
        <w:rPr>
          <w:noProof/>
        </w:rPr>
        <w:drawing>
          <wp:inline distT="0" distB="0" distL="0" distR="0">
            <wp:extent cx="4572000" cy="2790821"/>
            <wp:effectExtent l="0" t="0" r="0" b="0"/>
            <wp:docPr id="135"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rsidR="00E85D42" w:rsidRDefault="00E85D42">
      <w:pPr>
        <w:spacing w:line="254" w:lineRule="auto"/>
        <w:jc w:val="right"/>
        <w:rPr>
          <w:rFonts w:eastAsia="TimesNewRomanPSMT"/>
          <w:i/>
        </w:rPr>
      </w:pPr>
    </w:p>
    <w:p w:rsidR="00E85D42" w:rsidRDefault="008113B9">
      <w:pPr>
        <w:spacing w:line="276" w:lineRule="auto"/>
        <w:ind w:firstLine="720"/>
        <w:jc w:val="both"/>
      </w:pPr>
      <w:r>
        <w:rPr>
          <w:sz w:val="24"/>
          <w:szCs w:val="24"/>
        </w:rPr>
        <w:t>Таким образом, было построено 3 ценовых интервалов. Минимальные, максимальные и средние удельные цены для каждой ценовой зоны приведены в следующей таблице.</w:t>
      </w:r>
    </w:p>
    <w:p w:rsidR="00E85D42" w:rsidRDefault="008113B9">
      <w:pPr>
        <w:spacing w:line="254" w:lineRule="auto"/>
        <w:jc w:val="right"/>
      </w:pPr>
      <w:r>
        <w:rPr>
          <w:rFonts w:eastAsia="TimesNewRomanPSMT"/>
          <w:i/>
        </w:rPr>
        <w:t>Таблица 3.2.22. Минимальные, максимальные и</w:t>
      </w:r>
      <w:r>
        <w:rPr>
          <w:rFonts w:eastAsia="TimesNewRomanPSMT"/>
          <w:i/>
        </w:rPr>
        <w:t xml:space="preserve"> средние цены в ценовых зонах для земельных участков </w:t>
      </w:r>
      <w:r>
        <w:rPr>
          <w:i/>
        </w:rPr>
        <w:t>садоводства, огородничества, индивидуальной жилой застройки, личного подсобного хозяйства</w:t>
      </w:r>
    </w:p>
    <w:tbl>
      <w:tblPr>
        <w:tblW w:w="5000" w:type="pct"/>
        <w:tblCellMar>
          <w:left w:w="10" w:type="dxa"/>
          <w:right w:w="10" w:type="dxa"/>
        </w:tblCellMar>
        <w:tblLook w:val="04A0" w:firstRow="1" w:lastRow="0" w:firstColumn="1" w:lastColumn="0" w:noHBand="0" w:noVBand="1"/>
      </w:tblPr>
      <w:tblGrid>
        <w:gridCol w:w="2466"/>
        <w:gridCol w:w="2393"/>
        <w:gridCol w:w="2359"/>
        <w:gridCol w:w="2496"/>
      </w:tblGrid>
      <w:tr w:rsidR="00E85D42">
        <w:tblPrEx>
          <w:tblCellMar>
            <w:top w:w="0" w:type="dxa"/>
            <w:bottom w:w="0" w:type="dxa"/>
          </w:tblCellMar>
        </w:tblPrEx>
        <w:trPr>
          <w:trHeight w:val="315"/>
        </w:trPr>
        <w:tc>
          <w:tcPr>
            <w:tcW w:w="2466"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Ценовая зона</w:t>
            </w:r>
          </w:p>
        </w:tc>
        <w:tc>
          <w:tcPr>
            <w:tcW w:w="2393" w:type="dxa"/>
            <w:tcBorders>
              <w:top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Минимальная цена</w:t>
            </w:r>
          </w:p>
        </w:tc>
        <w:tc>
          <w:tcPr>
            <w:tcW w:w="2359" w:type="dxa"/>
            <w:tcBorders>
              <w:top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Максимальная цена</w:t>
            </w:r>
          </w:p>
        </w:tc>
        <w:tc>
          <w:tcPr>
            <w:tcW w:w="2496" w:type="dxa"/>
            <w:tcBorders>
              <w:top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85D42" w:rsidRDefault="008113B9">
            <w:pPr>
              <w:jc w:val="center"/>
              <w:rPr>
                <w:b/>
                <w:bCs/>
                <w:color w:val="000000"/>
              </w:rPr>
            </w:pPr>
            <w:r>
              <w:rPr>
                <w:b/>
                <w:bCs/>
                <w:color w:val="000000"/>
              </w:rPr>
              <w:t>Средняя цена</w:t>
            </w:r>
          </w:p>
        </w:tc>
      </w:tr>
      <w:tr w:rsidR="00E85D42">
        <w:tblPrEx>
          <w:tblCellMar>
            <w:top w:w="0" w:type="dxa"/>
            <w:bottom w:w="0" w:type="dxa"/>
          </w:tblCellMar>
        </w:tblPrEx>
        <w:trPr>
          <w:trHeight w:val="315"/>
        </w:trPr>
        <w:tc>
          <w:tcPr>
            <w:tcW w:w="246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 зона</w:t>
            </w:r>
          </w:p>
        </w:tc>
        <w:tc>
          <w:tcPr>
            <w:tcW w:w="2393"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1701</w:t>
            </w:r>
          </w:p>
        </w:tc>
        <w:tc>
          <w:tcPr>
            <w:tcW w:w="235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1 833</w:t>
            </w:r>
          </w:p>
        </w:tc>
        <w:tc>
          <w:tcPr>
            <w:tcW w:w="2496"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1767</w:t>
            </w:r>
          </w:p>
        </w:tc>
      </w:tr>
      <w:tr w:rsidR="00E85D42">
        <w:tblPrEx>
          <w:tblCellMar>
            <w:top w:w="0" w:type="dxa"/>
            <w:bottom w:w="0" w:type="dxa"/>
          </w:tblCellMar>
        </w:tblPrEx>
        <w:trPr>
          <w:trHeight w:val="315"/>
        </w:trPr>
        <w:tc>
          <w:tcPr>
            <w:tcW w:w="246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2 зона</w:t>
            </w:r>
          </w:p>
        </w:tc>
        <w:tc>
          <w:tcPr>
            <w:tcW w:w="2393"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921</w:t>
            </w:r>
          </w:p>
        </w:tc>
        <w:tc>
          <w:tcPr>
            <w:tcW w:w="235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1181</w:t>
            </w:r>
          </w:p>
        </w:tc>
        <w:tc>
          <w:tcPr>
            <w:tcW w:w="2496"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1051</w:t>
            </w:r>
          </w:p>
        </w:tc>
      </w:tr>
      <w:tr w:rsidR="00E85D42">
        <w:tblPrEx>
          <w:tblCellMar>
            <w:top w:w="0" w:type="dxa"/>
            <w:bottom w:w="0" w:type="dxa"/>
          </w:tblCellMar>
        </w:tblPrEx>
        <w:trPr>
          <w:trHeight w:val="315"/>
        </w:trPr>
        <w:tc>
          <w:tcPr>
            <w:tcW w:w="246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 xml:space="preserve">3 </w:t>
            </w:r>
            <w:r>
              <w:rPr>
                <w:color w:val="000000"/>
              </w:rPr>
              <w:t>зона</w:t>
            </w:r>
          </w:p>
        </w:tc>
        <w:tc>
          <w:tcPr>
            <w:tcW w:w="2393"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615</w:t>
            </w:r>
          </w:p>
        </w:tc>
        <w:tc>
          <w:tcPr>
            <w:tcW w:w="2359"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736</w:t>
            </w:r>
          </w:p>
        </w:tc>
        <w:tc>
          <w:tcPr>
            <w:tcW w:w="2496"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676</w:t>
            </w:r>
          </w:p>
        </w:tc>
      </w:tr>
    </w:tbl>
    <w:p w:rsidR="00E85D42" w:rsidRDefault="00E85D42">
      <w:pPr>
        <w:spacing w:line="254" w:lineRule="auto"/>
        <w:jc w:val="right"/>
        <w:rPr>
          <w:i/>
        </w:rPr>
      </w:pPr>
    </w:p>
    <w:p w:rsidR="00E85D42" w:rsidRDefault="008113B9">
      <w:pPr>
        <w:spacing w:before="120" w:line="276" w:lineRule="auto"/>
        <w:ind w:firstLine="720"/>
        <w:jc w:val="both"/>
        <w:rPr>
          <w:sz w:val="24"/>
          <w:szCs w:val="24"/>
        </w:rPr>
      </w:pPr>
      <w:r>
        <w:rPr>
          <w:sz w:val="24"/>
          <w:szCs w:val="24"/>
        </w:rPr>
        <w:t xml:space="preserve">По результатам оценочного зонирования территории города Уфа, составлена цветовая схема ценовых зон. Границы ценовых зон на данной схеме определяются изменением цветовой окраски, отвечающей каждому ценовому диапазону, как это отражено в </w:t>
      </w:r>
      <w:r>
        <w:rPr>
          <w:sz w:val="24"/>
          <w:szCs w:val="24"/>
        </w:rPr>
        <w:t>пояснениях к диаграмме. Как видно на схеме оценочного зонирования, наиболее дорогие земельные участки, относящиеся к 1 ценовой зоне, это Ленинский и Кировский районы города Уфы.</w:t>
      </w:r>
    </w:p>
    <w:p w:rsidR="00E85D42" w:rsidRDefault="00E85D42">
      <w:pPr>
        <w:spacing w:before="120" w:line="276" w:lineRule="auto"/>
        <w:ind w:firstLine="720"/>
        <w:rPr>
          <w:sz w:val="26"/>
          <w:szCs w:val="26"/>
        </w:rPr>
      </w:pPr>
    </w:p>
    <w:p w:rsidR="00E85D42" w:rsidRDefault="00E85D42">
      <w:pPr>
        <w:spacing w:before="120" w:line="276" w:lineRule="auto"/>
        <w:ind w:firstLine="720"/>
        <w:rPr>
          <w:sz w:val="26"/>
          <w:szCs w:val="26"/>
        </w:rPr>
      </w:pPr>
    </w:p>
    <w:p w:rsidR="00E85D42" w:rsidRDefault="00E85D42">
      <w:pPr>
        <w:spacing w:before="120" w:line="276" w:lineRule="auto"/>
        <w:ind w:firstLine="720"/>
        <w:rPr>
          <w:sz w:val="26"/>
          <w:szCs w:val="26"/>
        </w:rPr>
      </w:pPr>
    </w:p>
    <w:p w:rsidR="00E85D42" w:rsidRDefault="00E85D42">
      <w:pPr>
        <w:spacing w:before="120" w:line="276" w:lineRule="auto"/>
        <w:ind w:firstLine="720"/>
        <w:rPr>
          <w:sz w:val="26"/>
          <w:szCs w:val="26"/>
        </w:rPr>
      </w:pPr>
    </w:p>
    <w:p w:rsidR="00E85D42" w:rsidRDefault="00E85D42">
      <w:pPr>
        <w:spacing w:before="120" w:line="276" w:lineRule="auto"/>
        <w:ind w:firstLine="720"/>
        <w:rPr>
          <w:sz w:val="26"/>
          <w:szCs w:val="26"/>
        </w:rPr>
      </w:pPr>
    </w:p>
    <w:p w:rsidR="00E85D42" w:rsidRDefault="00E85D42">
      <w:pPr>
        <w:spacing w:before="120" w:line="276" w:lineRule="auto"/>
        <w:ind w:firstLine="720"/>
        <w:rPr>
          <w:sz w:val="26"/>
          <w:szCs w:val="26"/>
        </w:rPr>
      </w:pPr>
    </w:p>
    <w:p w:rsidR="00E85D42" w:rsidRDefault="00E85D42">
      <w:pPr>
        <w:spacing w:before="120" w:line="276" w:lineRule="auto"/>
        <w:ind w:firstLine="720"/>
        <w:rPr>
          <w:sz w:val="26"/>
          <w:szCs w:val="26"/>
        </w:rPr>
      </w:pPr>
    </w:p>
    <w:p w:rsidR="00E85D42" w:rsidRDefault="00E85D42">
      <w:pPr>
        <w:spacing w:before="120" w:line="276" w:lineRule="auto"/>
        <w:ind w:firstLine="720"/>
        <w:rPr>
          <w:sz w:val="26"/>
          <w:szCs w:val="26"/>
        </w:rPr>
      </w:pPr>
    </w:p>
    <w:p w:rsidR="00E85D42" w:rsidRDefault="00E85D42">
      <w:pPr>
        <w:spacing w:before="120" w:line="276" w:lineRule="auto"/>
        <w:ind w:firstLine="720"/>
        <w:rPr>
          <w:sz w:val="26"/>
          <w:szCs w:val="26"/>
        </w:rPr>
      </w:pPr>
    </w:p>
    <w:p w:rsidR="00E85D42" w:rsidRDefault="008113B9">
      <w:pPr>
        <w:spacing w:before="120" w:line="276" w:lineRule="auto"/>
        <w:ind w:firstLine="720"/>
        <w:jc w:val="right"/>
      </w:pPr>
      <w:r>
        <w:rPr>
          <w:rFonts w:eastAsia="Calibri"/>
          <w:i/>
        </w:rPr>
        <w:t xml:space="preserve">Рисунок 3.2.4. Схема оценочного зонирования территории города Уфа по </w:t>
      </w:r>
      <w:r>
        <w:rPr>
          <w:rFonts w:eastAsia="Calibri"/>
          <w:i/>
        </w:rPr>
        <w:t>сегменту «Садоводство и огородничество, малоэтажная жилая застройка»</w:t>
      </w:r>
    </w:p>
    <w:p w:rsidR="00E85D42" w:rsidRDefault="008113B9">
      <w:pPr>
        <w:tabs>
          <w:tab w:val="right" w:pos="9072"/>
        </w:tabs>
        <w:spacing w:after="120" w:line="276" w:lineRule="auto"/>
        <w:jc w:val="center"/>
      </w:pPr>
      <w:r>
        <w:rPr>
          <w:noProof/>
        </w:rPr>
        <w:drawing>
          <wp:inline distT="0" distB="0" distL="0" distR="0">
            <wp:extent cx="5505446" cy="7677146"/>
            <wp:effectExtent l="0" t="0" r="4" b="4"/>
            <wp:docPr id="136" name="Рисунок 48" descr="Z:\!Елсукова Н.Н\!!! ИЖС\Зонирование\Зонирование Уфа\Карта зонирования Все вместе (402 аналога).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rcRect/>
                    <a:stretch>
                      <a:fillRect/>
                    </a:stretch>
                  </pic:blipFill>
                  <pic:spPr>
                    <a:xfrm>
                      <a:off x="0" y="0"/>
                      <a:ext cx="5505446" cy="7677146"/>
                    </a:xfrm>
                    <a:prstGeom prst="rect">
                      <a:avLst/>
                    </a:prstGeom>
                    <a:noFill/>
                    <a:ln>
                      <a:noFill/>
                      <a:prstDash/>
                    </a:ln>
                  </pic:spPr>
                </pic:pic>
              </a:graphicData>
            </a:graphic>
          </wp:inline>
        </w:drawing>
      </w:r>
    </w:p>
    <w:p w:rsidR="00E85D42" w:rsidRDefault="00E85D42">
      <w:pPr>
        <w:spacing w:line="254" w:lineRule="auto"/>
        <w:jc w:val="center"/>
        <w:rPr>
          <w:rFonts w:eastAsia="Calibri"/>
          <w:i/>
        </w:rPr>
      </w:pPr>
    </w:p>
    <w:p w:rsidR="00E85D42" w:rsidRDefault="00E85D42">
      <w:pPr>
        <w:tabs>
          <w:tab w:val="right" w:pos="9072"/>
        </w:tabs>
        <w:spacing w:after="120" w:line="276" w:lineRule="auto"/>
      </w:pPr>
    </w:p>
    <w:p w:rsidR="00E85D42" w:rsidRDefault="00E85D42">
      <w:pPr>
        <w:ind w:firstLine="567"/>
        <w:rPr>
          <w:sz w:val="24"/>
          <w:szCs w:val="24"/>
        </w:rPr>
      </w:pPr>
    </w:p>
    <w:p w:rsidR="00E85D42" w:rsidRDefault="00E85D42">
      <w:pPr>
        <w:ind w:firstLine="567"/>
        <w:rPr>
          <w:sz w:val="24"/>
          <w:szCs w:val="24"/>
        </w:rPr>
      </w:pPr>
    </w:p>
    <w:p w:rsidR="00E85D42" w:rsidRDefault="00E85D42">
      <w:pPr>
        <w:ind w:firstLine="567"/>
        <w:rPr>
          <w:sz w:val="24"/>
          <w:szCs w:val="24"/>
        </w:rPr>
      </w:pPr>
    </w:p>
    <w:p w:rsidR="00E85D42" w:rsidRDefault="008113B9">
      <w:pPr>
        <w:keepNext/>
        <w:ind w:firstLine="576"/>
        <w:jc w:val="both"/>
        <w:outlineLvl w:val="1"/>
      </w:pPr>
      <w:bookmarkStart w:id="131" w:name="_Ref510627583"/>
      <w:bookmarkStart w:id="132" w:name="_Ref511220785"/>
      <w:bookmarkStart w:id="133" w:name="_Ref511256842"/>
      <w:bookmarkStart w:id="134" w:name="_Toc511658822"/>
      <w:bookmarkStart w:id="135" w:name="_Toc11934893"/>
      <w:r>
        <w:rPr>
          <w:b/>
          <w:sz w:val="24"/>
        </w:rPr>
        <w:t>3.3. Обоснование подходов к сегментации объектов недвижимости, подлежащих государственной кадастровой оценке, в целях их группировки</w:t>
      </w:r>
      <w:bookmarkEnd w:id="131"/>
      <w:bookmarkEnd w:id="132"/>
      <w:bookmarkEnd w:id="133"/>
      <w:bookmarkEnd w:id="134"/>
      <w:bookmarkEnd w:id="135"/>
    </w:p>
    <w:p w:rsidR="00E85D42" w:rsidRDefault="008113B9">
      <w:pPr>
        <w:ind w:firstLine="540"/>
        <w:jc w:val="both"/>
        <w:rPr>
          <w:sz w:val="24"/>
        </w:rPr>
      </w:pPr>
      <w:r>
        <w:rPr>
          <w:sz w:val="24"/>
        </w:rPr>
        <w:t xml:space="preserve">Для целей определения кадастровой стоимости </w:t>
      </w:r>
      <w:r>
        <w:rPr>
          <w:sz w:val="24"/>
        </w:rPr>
        <w:t>объекты недвижимости, подлежащие оценке, были распределены в группы (подгруппы) на основе видов использования объектов недвижимости.</w:t>
      </w:r>
    </w:p>
    <w:p w:rsidR="00E85D42" w:rsidRDefault="008113B9">
      <w:pPr>
        <w:ind w:firstLine="540"/>
        <w:jc w:val="both"/>
        <w:rPr>
          <w:sz w:val="24"/>
        </w:rPr>
      </w:pPr>
      <w:r>
        <w:rPr>
          <w:sz w:val="24"/>
        </w:rPr>
        <w:t>Для целей определения кадастровой стоимости земельные участки были сгруппированы в соответствии с кодами расчета видов испо</w:t>
      </w:r>
      <w:r>
        <w:rPr>
          <w:sz w:val="24"/>
        </w:rPr>
        <w:t>льзования независимо от категории земель на 14 основных сегментов в соответствии с приложением № 1 к Методическим указаниям.</w:t>
      </w:r>
    </w:p>
    <w:p w:rsidR="00E85D42" w:rsidRDefault="008113B9">
      <w:pPr>
        <w:ind w:firstLine="540"/>
        <w:jc w:val="both"/>
        <w:rPr>
          <w:sz w:val="24"/>
        </w:rPr>
      </w:pPr>
      <w:r>
        <w:rPr>
          <w:sz w:val="24"/>
        </w:rPr>
        <w:t>Группировка объектов недвижимости была ориентирована на сложившиеся сегменты рынка недвижимости и основана на результатах анализа и</w:t>
      </w:r>
      <w:r>
        <w:rPr>
          <w:sz w:val="24"/>
        </w:rPr>
        <w:t>нформации о рынке объектов недвижимости, на модели оценки кадастровой стоимости, на состав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E85D42" w:rsidRDefault="008113B9">
      <w:pPr>
        <w:ind w:firstLine="540"/>
        <w:jc w:val="both"/>
        <w:rPr>
          <w:sz w:val="24"/>
        </w:rPr>
      </w:pPr>
      <w:r>
        <w:rPr>
          <w:sz w:val="24"/>
        </w:rPr>
        <w:t>Сегментация объектов недв</w:t>
      </w:r>
      <w:r>
        <w:rPr>
          <w:sz w:val="24"/>
        </w:rPr>
        <w:t>ижимости была проведена по следующим этапам:</w:t>
      </w:r>
    </w:p>
    <w:p w:rsidR="00E85D42" w:rsidRDefault="008113B9">
      <w:pPr>
        <w:numPr>
          <w:ilvl w:val="0"/>
          <w:numId w:val="21"/>
        </w:numPr>
        <w:jc w:val="both"/>
        <w:rPr>
          <w:sz w:val="24"/>
        </w:rPr>
      </w:pPr>
      <w:r>
        <w:rPr>
          <w:sz w:val="24"/>
        </w:rPr>
        <w:t>Первичная группировка объектов недвижимости на 14 сегментов в соответствии с приложением №1 Методических указаний.</w:t>
      </w:r>
    </w:p>
    <w:p w:rsidR="00E85D42" w:rsidRDefault="008113B9">
      <w:pPr>
        <w:numPr>
          <w:ilvl w:val="0"/>
          <w:numId w:val="21"/>
        </w:numPr>
        <w:jc w:val="both"/>
        <w:rPr>
          <w:sz w:val="24"/>
        </w:rPr>
      </w:pPr>
      <w:r>
        <w:rPr>
          <w:sz w:val="24"/>
        </w:rPr>
        <w:t>Группировка объектов недвижимости в пределах сегментов.</w:t>
      </w:r>
    </w:p>
    <w:p w:rsidR="00E85D42" w:rsidRDefault="008113B9">
      <w:pPr>
        <w:ind w:firstLine="540"/>
        <w:jc w:val="both"/>
        <w:rPr>
          <w:b/>
          <w:sz w:val="24"/>
        </w:rPr>
      </w:pPr>
      <w:r>
        <w:rPr>
          <w:b/>
          <w:sz w:val="24"/>
        </w:rPr>
        <w:t xml:space="preserve">Первичная группировка объектов </w:t>
      </w:r>
      <w:r>
        <w:rPr>
          <w:b/>
          <w:sz w:val="24"/>
        </w:rPr>
        <w:t>недвижимости на основе сегментации объектов недвижимости</w:t>
      </w:r>
    </w:p>
    <w:p w:rsidR="00E85D42" w:rsidRDefault="008113B9">
      <w:pPr>
        <w:ind w:firstLine="540"/>
        <w:jc w:val="both"/>
        <w:rPr>
          <w:sz w:val="24"/>
        </w:rPr>
      </w:pPr>
      <w:r>
        <w:rPr>
          <w:sz w:val="24"/>
        </w:rPr>
        <w:t>В соответствии со статьей 12 Федерального закона от 03.07.2016 № 237-ФЗ «О государственной кадастровой оценке» подготовка к проведению государственной кадастровой оценки осуществляется до 1 января го</w:t>
      </w:r>
      <w:r>
        <w:rPr>
          <w:sz w:val="24"/>
        </w:rPr>
        <w:t>да определения кадастровой стоимости. Сбор и обработка информации, необходимой для определения кадастровой стоимости, осуществляются бюджетным учреждением, созданным субъектом Российской Федерации (далее - Бюджетное учреждение), в соответствии с методическ</w:t>
      </w:r>
      <w:r>
        <w:rPr>
          <w:sz w:val="24"/>
        </w:rPr>
        <w:t>ими указаниями о государственной кадастровой оценке. В целях сбора информации для подготовки к проведению государственной кадастровой оценки Управлением Федеральной службы государственной регистрации, кадастра и картографии по Республике Башкортостан сформ</w:t>
      </w:r>
      <w:r>
        <w:rPr>
          <w:sz w:val="24"/>
        </w:rPr>
        <w:t xml:space="preserve">ированы материалы в соответствии с Порядком формирования и предоставления перечня объектов недвижимости, подлежащих государственной кадастровой оценке, утвержденным приказом Минэкономразвития России от 01.11.2013 № 648, включающие сведения ЕГРН о зданиях, </w:t>
      </w:r>
      <w:r>
        <w:rPr>
          <w:sz w:val="24"/>
        </w:rPr>
        <w:t>помещениях, сооружениях, объектах незавершенного строительства, земельных участков (всех категорий земель) на территории Республики Башкортостан по состоянию на 04.04.2018г. и переданы ГБУ РБ «ГКО и ТИ». (Письмо исх. № 02682 от 09 апреля 2018 г. Управления</w:t>
      </w:r>
      <w:r>
        <w:rPr>
          <w:sz w:val="24"/>
        </w:rPr>
        <w:t xml:space="preserve"> Федеральной службы государственной регистрации, кадастра и картографии по Республике Башкортостан, Письмо исх.№ ИГ-20/4320 от 27 июня 2017 г. Министерства земельных и имущественных отношений Республики Башкортостан) (см. Приложение N1.2).</w:t>
      </w:r>
    </w:p>
    <w:p w:rsidR="00E85D42" w:rsidRDefault="008113B9">
      <w:pPr>
        <w:jc w:val="both"/>
        <w:rPr>
          <w:sz w:val="24"/>
        </w:rPr>
      </w:pPr>
      <w:r>
        <w:rPr>
          <w:sz w:val="24"/>
        </w:rPr>
        <w:t xml:space="preserve">Предварительный </w:t>
      </w:r>
      <w:r>
        <w:rPr>
          <w:sz w:val="24"/>
        </w:rPr>
        <w:t>перечень земель, подлежащих государственной кадастровой оценке по состоянию на 01.04.2018г. составил 1 536 548 земельных участка, в том числе:</w:t>
      </w:r>
    </w:p>
    <w:p w:rsidR="00E85D42" w:rsidRDefault="008113B9">
      <w:pPr>
        <w:jc w:val="both"/>
        <w:rPr>
          <w:sz w:val="24"/>
        </w:rPr>
      </w:pPr>
      <w:r>
        <w:rPr>
          <w:sz w:val="24"/>
        </w:rPr>
        <w:t>- земли населенных пунктов – 1536385 земельных участков;</w:t>
      </w:r>
    </w:p>
    <w:p w:rsidR="00E85D42" w:rsidRDefault="008113B9">
      <w:pPr>
        <w:jc w:val="both"/>
        <w:rPr>
          <w:sz w:val="24"/>
        </w:rPr>
      </w:pPr>
      <w:r>
        <w:rPr>
          <w:sz w:val="24"/>
        </w:rPr>
        <w:t>- земли водного фонда - 163 земельных участков. (см. При</w:t>
      </w:r>
      <w:r>
        <w:rPr>
          <w:sz w:val="24"/>
        </w:rPr>
        <w:t>ложение N1.2)</w:t>
      </w:r>
    </w:p>
    <w:p w:rsidR="00E85D42" w:rsidRDefault="008113B9">
      <w:pPr>
        <w:ind w:firstLine="540"/>
        <w:jc w:val="both"/>
      </w:pPr>
      <w:r>
        <w:rPr>
          <w:sz w:val="24"/>
        </w:rPr>
        <w:t>В рамках подготовительных работ по государственной кадастровой оценке ГБУ РБ «ГКО и ТИ» направило в адрес глав муниципальных образований Республики Башкортостан, письмо исх.1820-21 от 22.11.2018 г. о предоставлении информации, необходимой для</w:t>
      </w:r>
      <w:r>
        <w:rPr>
          <w:sz w:val="24"/>
        </w:rPr>
        <w:t xml:space="preserve"> проведения кадастровой оценки, с уточнением «вида разрешенного использования» </w:t>
      </w:r>
      <w:r>
        <w:rPr>
          <w:color w:val="000000"/>
          <w:sz w:val="24"/>
        </w:rPr>
        <w:t>для земельных участков</w:t>
      </w:r>
      <w:r>
        <w:rPr>
          <w:sz w:val="24"/>
        </w:rPr>
        <w:t xml:space="preserve"> в соответствии с Приказом Министерства экономического развития РФ от 1 сентября 2014 г. N 540 "Об утверждении классификатора видов разрешенного использова</w:t>
      </w:r>
      <w:r>
        <w:rPr>
          <w:sz w:val="24"/>
        </w:rPr>
        <w:t xml:space="preserve">ния земельных участков", а также «фактического использования» в соответствии с фактическим использованием земельного участка. </w:t>
      </w:r>
    </w:p>
    <w:p w:rsidR="00E85D42" w:rsidRDefault="008113B9">
      <w:pPr>
        <w:ind w:firstLine="540"/>
        <w:jc w:val="both"/>
      </w:pPr>
      <w:r>
        <w:rPr>
          <w:sz w:val="24"/>
        </w:rPr>
        <w:t xml:space="preserve">В адрес ГБУ РБ «ГКО и ТИ» от Администраций муниципальных образований Республики Башкортостан были направлены письма с уточненной </w:t>
      </w:r>
      <w:r>
        <w:rPr>
          <w:sz w:val="24"/>
        </w:rPr>
        <w:t xml:space="preserve">информацией по коду ВРИ земельных участков. Ответы в Приложении </w:t>
      </w:r>
      <w:r>
        <w:rPr>
          <w:sz w:val="24"/>
          <w:lang w:val="en-US"/>
        </w:rPr>
        <w:t>N</w:t>
      </w:r>
      <w:r>
        <w:rPr>
          <w:sz w:val="24"/>
        </w:rPr>
        <w:t>1.3.</w:t>
      </w:r>
    </w:p>
    <w:p w:rsidR="00E85D42" w:rsidRDefault="008113B9">
      <w:pPr>
        <w:ind w:firstLine="540"/>
        <w:jc w:val="both"/>
        <w:rPr>
          <w:sz w:val="24"/>
        </w:rPr>
      </w:pPr>
      <w:r>
        <w:rPr>
          <w:sz w:val="24"/>
        </w:rPr>
        <w:t xml:space="preserve">Перечень земельных участков подлежащих государственной кадастровой оценке в 2019 году (далее - Перечень) сформирован в соответствии с ст. 13 Федерального закона от 3 июня 2016 года №237 </w:t>
      </w:r>
      <w:r>
        <w:rPr>
          <w:sz w:val="24"/>
        </w:rPr>
        <w:t>«О государственной кадастровой оценке» Управлением Росреестра Республики Башкортостан, и передан Министерством земельных и имущественных отношении Республики Башкортостан в ГБУ РБ «ГКО и ТИ» письмом № ИА-20/2072 от 18.02.2018г. Состав земель подлежащих гос</w:t>
      </w:r>
      <w:r>
        <w:rPr>
          <w:sz w:val="24"/>
        </w:rPr>
        <w:t>ударственной кадастровой оценке состоит из земель населенных пунктов – 1 541 256 земельных участков и земель водного фонда – 161 земельных участков (итого 1 541 417 земельных участков). Вышеуказанные Перечни сформированы по состоянию на 1 января 2019 года.</w:t>
      </w:r>
      <w:r>
        <w:rPr>
          <w:sz w:val="24"/>
        </w:rPr>
        <w:t xml:space="preserve"> (См. Приложение 1.4)</w:t>
      </w:r>
    </w:p>
    <w:p w:rsidR="00E85D42" w:rsidRDefault="008113B9">
      <w:pPr>
        <w:ind w:firstLine="540"/>
        <w:jc w:val="both"/>
        <w:rPr>
          <w:sz w:val="24"/>
        </w:rPr>
      </w:pPr>
      <w:r>
        <w:rPr>
          <w:sz w:val="24"/>
        </w:rPr>
        <w:t>В связи с тем, что земельные участки, имеющие наименование «единое землепользование», не имеют координат границ, был обработан перечень обособленных земельных участков, входящих в состав данных единых землепользований. Перечень обособ</w:t>
      </w:r>
      <w:r>
        <w:rPr>
          <w:sz w:val="24"/>
        </w:rPr>
        <w:t>ленных земельных участков, входящих в состав данных единых землепользований, был передан Министерством земельных и имущественных отношений Республики Письмом Министерства земельных и имущественных отношений Республики Башкортостан №ИА-20/4498 от 08.04.2019</w:t>
      </w:r>
      <w:r>
        <w:rPr>
          <w:sz w:val="24"/>
        </w:rPr>
        <w:t xml:space="preserve"> г. В составе исходного перечня земельных участков, подлежащих государственной кадастровой оценке, содержится 3812 единиц единых землепользований, включающих в себя 28 167 обособленных земельных участков. (См. Приложение 1.5)</w:t>
      </w:r>
    </w:p>
    <w:p w:rsidR="00E85D42" w:rsidRDefault="008113B9">
      <w:pPr>
        <w:ind w:firstLine="540"/>
        <w:jc w:val="both"/>
        <w:rPr>
          <w:sz w:val="24"/>
        </w:rPr>
      </w:pPr>
      <w:r>
        <w:rPr>
          <w:sz w:val="24"/>
        </w:rPr>
        <w:t>Письмом № 275-21 от 07 марта 2</w:t>
      </w:r>
      <w:r>
        <w:rPr>
          <w:sz w:val="24"/>
        </w:rPr>
        <w:t>019 года ГБУ РБ «ГКО и ТИ» в адрес глав муниципальных образований Республики Башкортостан был направлен обработанный перечень земельных участков, с учетом ВРИ которые ранее уточнялись на основании обращении ГБУ РБ «ГКО и ТИ» и Министерства земельных и имущ</w:t>
      </w:r>
      <w:r>
        <w:rPr>
          <w:sz w:val="24"/>
        </w:rPr>
        <w:t xml:space="preserve">ественных отношений Республики Башкортостан, для рассмотрения и согласования на межведомственных комиссиях. </w:t>
      </w:r>
    </w:p>
    <w:p w:rsidR="00E85D42" w:rsidRDefault="008113B9">
      <w:pPr>
        <w:ind w:firstLine="540"/>
        <w:jc w:val="both"/>
      </w:pPr>
      <w:r>
        <w:rPr>
          <w:sz w:val="24"/>
        </w:rPr>
        <w:t>Уточненный перечень земельных участков, подлежащих государственной кадастровой оценке в 2019 году, сформирован ГБУ РБ «ГКО и ТИ» на основании Прото</w:t>
      </w:r>
      <w:r>
        <w:rPr>
          <w:sz w:val="24"/>
        </w:rPr>
        <w:t>колов заседания межведомственных комиссий по вопросам государственной кадастровой оценки земель и</w:t>
      </w:r>
      <w:r>
        <w:rPr>
          <w:color w:val="000000"/>
          <w:sz w:val="24"/>
        </w:rPr>
        <w:t xml:space="preserve"> объектов недвижимости на территории муниципальных районов Республики Башкортостан, направлен на согласование в Министерство земельных и имущественных отношени</w:t>
      </w:r>
      <w:r>
        <w:rPr>
          <w:color w:val="000000"/>
          <w:sz w:val="24"/>
        </w:rPr>
        <w:t xml:space="preserve">й Республики </w:t>
      </w:r>
      <w:r>
        <w:rPr>
          <w:sz w:val="24"/>
        </w:rPr>
        <w:t>Башкортостан. Указанный перечень был согласован Министерством земельных и имущественных отношений Республики Башкортостан письмом исх.№ ОП-20/5825 от 30 апреля 2019г. Протоколы МВК и письмо исх.№ ОП-20/5825 от 30 апреля 2019г. представлены в П</w:t>
      </w:r>
      <w:r>
        <w:rPr>
          <w:sz w:val="24"/>
        </w:rPr>
        <w:t xml:space="preserve">риложении </w:t>
      </w:r>
      <w:r>
        <w:rPr>
          <w:sz w:val="24"/>
          <w:lang w:val="en-US"/>
        </w:rPr>
        <w:t>N</w:t>
      </w:r>
      <w:r>
        <w:rPr>
          <w:sz w:val="24"/>
        </w:rPr>
        <w:t>1.6.</w:t>
      </w:r>
    </w:p>
    <w:p w:rsidR="00E85D42" w:rsidRDefault="008113B9">
      <w:pPr>
        <w:ind w:firstLine="567"/>
        <w:jc w:val="both"/>
        <w:rPr>
          <w:color w:val="000000"/>
          <w:sz w:val="24"/>
        </w:rPr>
      </w:pPr>
      <w:r>
        <w:rPr>
          <w:color w:val="000000"/>
          <w:sz w:val="24"/>
        </w:rPr>
        <w:t>Согласно данных, представленных Управлением Федеральной службы государственной регистрации, кадастра и картографии по Республике Башкортостан (письмо исх.№ 00880/217 от 18 января 2019г.), кадастровая стоимость была оспорена в порядке, устан</w:t>
      </w:r>
      <w:r>
        <w:rPr>
          <w:color w:val="000000"/>
          <w:sz w:val="24"/>
        </w:rPr>
        <w:t>овленном законодательством Российской Федерации в отношении 7105 земельных участков, расположенных на землях населенных пунктов. (См. Приложение 1.7)</w:t>
      </w:r>
    </w:p>
    <w:p w:rsidR="00E85D42" w:rsidRDefault="008113B9">
      <w:pPr>
        <w:ind w:firstLine="567"/>
        <w:jc w:val="both"/>
        <w:rPr>
          <w:b/>
          <w:i/>
          <w:sz w:val="24"/>
        </w:rPr>
      </w:pPr>
      <w:r>
        <w:rPr>
          <w:b/>
          <w:i/>
          <w:sz w:val="24"/>
        </w:rPr>
        <w:t>Вид разрешенного использования земельного участка</w:t>
      </w:r>
    </w:p>
    <w:p w:rsidR="00E85D42" w:rsidRDefault="008113B9">
      <w:pPr>
        <w:ind w:firstLine="540"/>
        <w:jc w:val="both"/>
        <w:rPr>
          <w:sz w:val="24"/>
        </w:rPr>
      </w:pPr>
      <w:r>
        <w:rPr>
          <w:sz w:val="24"/>
        </w:rPr>
        <w:t>Вид разрешенного использования земельного участка опреде</w:t>
      </w:r>
      <w:r>
        <w:rPr>
          <w:sz w:val="24"/>
        </w:rPr>
        <w:t>лен по сведениям ЕГРН, представленным в Перечне на основании:</w:t>
      </w:r>
    </w:p>
    <w:p w:rsidR="00E85D42" w:rsidRDefault="008113B9">
      <w:pPr>
        <w:numPr>
          <w:ilvl w:val="0"/>
          <w:numId w:val="22"/>
        </w:numPr>
        <w:jc w:val="both"/>
        <w:rPr>
          <w:sz w:val="24"/>
        </w:rPr>
      </w:pPr>
      <w:r>
        <w:rPr>
          <w:sz w:val="24"/>
        </w:rPr>
        <w:t xml:space="preserve">Вида разрешенного использования земельного участка в соответствии с Классификатором № 540 (LandUse); </w:t>
      </w:r>
    </w:p>
    <w:p w:rsidR="00E85D42" w:rsidRDefault="008113B9">
      <w:pPr>
        <w:numPr>
          <w:ilvl w:val="0"/>
          <w:numId w:val="22"/>
        </w:numPr>
        <w:jc w:val="both"/>
        <w:rPr>
          <w:sz w:val="24"/>
        </w:rPr>
      </w:pPr>
      <w:r>
        <w:rPr>
          <w:sz w:val="24"/>
        </w:rPr>
        <w:t xml:space="preserve">Вида использования участка по документу (ByDoc); </w:t>
      </w:r>
    </w:p>
    <w:p w:rsidR="00E85D42" w:rsidRDefault="008113B9">
      <w:pPr>
        <w:numPr>
          <w:ilvl w:val="0"/>
          <w:numId w:val="22"/>
        </w:numPr>
        <w:jc w:val="both"/>
        <w:rPr>
          <w:sz w:val="24"/>
        </w:rPr>
      </w:pPr>
      <w:r>
        <w:rPr>
          <w:sz w:val="24"/>
        </w:rPr>
        <w:t>Вида разрешенного использования земельного</w:t>
      </w:r>
      <w:r>
        <w:rPr>
          <w:sz w:val="24"/>
        </w:rPr>
        <w:t xml:space="preserve"> участка в соответствии с ранее присвоенным классификатором (Utilization).</w:t>
      </w:r>
    </w:p>
    <w:p w:rsidR="00E85D42" w:rsidRDefault="008113B9">
      <w:pPr>
        <w:ind w:firstLine="540"/>
        <w:jc w:val="both"/>
        <w:rPr>
          <w:sz w:val="24"/>
        </w:rPr>
      </w:pPr>
      <w:r>
        <w:rPr>
          <w:sz w:val="24"/>
        </w:rPr>
        <w:t>При наличии в Перечне сведений LandUse, ByDoc, Utilization за основу принимался вид разрешенного использования по ByDoc. Для земельных участков с неоднозначным ВРИ по ByDoc, ВРИ уча</w:t>
      </w:r>
      <w:r>
        <w:rPr>
          <w:sz w:val="24"/>
        </w:rPr>
        <w:t>стков принимался согласно Классификатора № 540 (LandUse). При отсутствии сведений о ВРИ земельных участков, в Администрации муниципальных образований Республики Башкортостан были направлены запросы об уточнении ВРИ земельных участков.</w:t>
      </w:r>
    </w:p>
    <w:p w:rsidR="00E85D42" w:rsidRDefault="008113B9">
      <w:pPr>
        <w:ind w:firstLine="540"/>
        <w:jc w:val="both"/>
        <w:rPr>
          <w:sz w:val="24"/>
        </w:rPr>
      </w:pPr>
      <w:r>
        <w:rPr>
          <w:sz w:val="24"/>
        </w:rPr>
        <w:t>В соответствии с пунк</w:t>
      </w:r>
      <w:r>
        <w:rPr>
          <w:sz w:val="24"/>
        </w:rPr>
        <w:t>том 9.2.2. Методических указаний для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приложением № 1 к Метод</w:t>
      </w:r>
      <w:r>
        <w:rPr>
          <w:sz w:val="24"/>
        </w:rPr>
        <w:t>ическим указаниям:</w:t>
      </w:r>
    </w:p>
    <w:p w:rsidR="00E85D42" w:rsidRDefault="008113B9">
      <w:pPr>
        <w:numPr>
          <w:ilvl w:val="0"/>
          <w:numId w:val="23"/>
        </w:numPr>
        <w:jc w:val="both"/>
        <w:rPr>
          <w:sz w:val="24"/>
        </w:rPr>
      </w:pPr>
      <w:r>
        <w:rPr>
          <w:sz w:val="24"/>
        </w:rPr>
        <w:t>1 сегмент «Сельскохозяйственное использование»;</w:t>
      </w:r>
    </w:p>
    <w:p w:rsidR="00E85D42" w:rsidRDefault="008113B9">
      <w:pPr>
        <w:numPr>
          <w:ilvl w:val="0"/>
          <w:numId w:val="23"/>
        </w:numPr>
        <w:jc w:val="both"/>
        <w:rPr>
          <w:sz w:val="24"/>
        </w:rPr>
      </w:pPr>
      <w:r>
        <w:rPr>
          <w:sz w:val="24"/>
        </w:rPr>
        <w:t>2 сегмент «Жилая застройка (среднеэтажная и многоэтажная)»;</w:t>
      </w:r>
    </w:p>
    <w:p w:rsidR="00E85D42" w:rsidRDefault="008113B9">
      <w:pPr>
        <w:numPr>
          <w:ilvl w:val="0"/>
          <w:numId w:val="23"/>
        </w:numPr>
        <w:jc w:val="both"/>
        <w:rPr>
          <w:sz w:val="24"/>
        </w:rPr>
      </w:pPr>
      <w:r>
        <w:rPr>
          <w:sz w:val="24"/>
        </w:rPr>
        <w:t>3 сегмент «Общественное использование»;</w:t>
      </w:r>
    </w:p>
    <w:p w:rsidR="00E85D42" w:rsidRDefault="008113B9">
      <w:pPr>
        <w:numPr>
          <w:ilvl w:val="0"/>
          <w:numId w:val="23"/>
        </w:numPr>
        <w:jc w:val="both"/>
        <w:rPr>
          <w:sz w:val="24"/>
        </w:rPr>
      </w:pPr>
      <w:r>
        <w:rPr>
          <w:sz w:val="24"/>
        </w:rPr>
        <w:t>4 сегмент «Предпринимательство»;</w:t>
      </w:r>
    </w:p>
    <w:p w:rsidR="00E85D42" w:rsidRDefault="008113B9">
      <w:pPr>
        <w:numPr>
          <w:ilvl w:val="0"/>
          <w:numId w:val="23"/>
        </w:numPr>
        <w:jc w:val="both"/>
        <w:rPr>
          <w:sz w:val="24"/>
        </w:rPr>
      </w:pPr>
      <w:r>
        <w:rPr>
          <w:sz w:val="24"/>
        </w:rPr>
        <w:t>5 сегмент «Отдых (рекреация)»;</w:t>
      </w:r>
    </w:p>
    <w:p w:rsidR="00E85D42" w:rsidRDefault="008113B9">
      <w:pPr>
        <w:numPr>
          <w:ilvl w:val="0"/>
          <w:numId w:val="23"/>
        </w:numPr>
        <w:jc w:val="both"/>
        <w:rPr>
          <w:sz w:val="24"/>
        </w:rPr>
      </w:pPr>
      <w:r>
        <w:rPr>
          <w:sz w:val="24"/>
        </w:rPr>
        <w:t xml:space="preserve">6 сегмент </w:t>
      </w:r>
      <w:r>
        <w:rPr>
          <w:sz w:val="24"/>
        </w:rPr>
        <w:t>«Производственная деятельность»;</w:t>
      </w:r>
    </w:p>
    <w:p w:rsidR="00E85D42" w:rsidRDefault="008113B9">
      <w:pPr>
        <w:numPr>
          <w:ilvl w:val="0"/>
          <w:numId w:val="23"/>
        </w:numPr>
        <w:jc w:val="both"/>
        <w:rPr>
          <w:sz w:val="24"/>
        </w:rPr>
      </w:pPr>
      <w:r>
        <w:rPr>
          <w:sz w:val="24"/>
        </w:rPr>
        <w:t>7 сегмент «Транспорт»;</w:t>
      </w:r>
    </w:p>
    <w:p w:rsidR="00E85D42" w:rsidRDefault="008113B9">
      <w:pPr>
        <w:numPr>
          <w:ilvl w:val="0"/>
          <w:numId w:val="23"/>
        </w:numPr>
        <w:jc w:val="both"/>
        <w:rPr>
          <w:sz w:val="24"/>
        </w:rPr>
      </w:pPr>
      <w:r>
        <w:rPr>
          <w:sz w:val="24"/>
        </w:rPr>
        <w:t>8 сегмент «Обеспечение обороны и безопасности»;</w:t>
      </w:r>
    </w:p>
    <w:p w:rsidR="00E85D42" w:rsidRDefault="008113B9">
      <w:pPr>
        <w:numPr>
          <w:ilvl w:val="0"/>
          <w:numId w:val="23"/>
        </w:numPr>
        <w:jc w:val="both"/>
        <w:rPr>
          <w:sz w:val="24"/>
        </w:rPr>
      </w:pPr>
      <w:r>
        <w:rPr>
          <w:sz w:val="24"/>
        </w:rPr>
        <w:t>9 сегмент «Охраняемые природные территории и благоустройство»;</w:t>
      </w:r>
    </w:p>
    <w:p w:rsidR="00E85D42" w:rsidRDefault="008113B9">
      <w:pPr>
        <w:numPr>
          <w:ilvl w:val="0"/>
          <w:numId w:val="23"/>
        </w:numPr>
        <w:jc w:val="both"/>
        <w:rPr>
          <w:sz w:val="24"/>
        </w:rPr>
      </w:pPr>
      <w:r>
        <w:rPr>
          <w:sz w:val="24"/>
        </w:rPr>
        <w:t>10 сегмент «Использование лесов»;</w:t>
      </w:r>
    </w:p>
    <w:p w:rsidR="00E85D42" w:rsidRDefault="008113B9">
      <w:pPr>
        <w:numPr>
          <w:ilvl w:val="0"/>
          <w:numId w:val="23"/>
        </w:numPr>
        <w:jc w:val="both"/>
        <w:rPr>
          <w:sz w:val="24"/>
        </w:rPr>
      </w:pPr>
      <w:r>
        <w:rPr>
          <w:sz w:val="24"/>
        </w:rPr>
        <w:t>11 сегмент «Водные объекты»;</w:t>
      </w:r>
    </w:p>
    <w:p w:rsidR="00E85D42" w:rsidRDefault="008113B9">
      <w:pPr>
        <w:numPr>
          <w:ilvl w:val="0"/>
          <w:numId w:val="23"/>
        </w:numPr>
        <w:jc w:val="both"/>
        <w:rPr>
          <w:sz w:val="24"/>
        </w:rPr>
      </w:pPr>
      <w:r>
        <w:rPr>
          <w:sz w:val="24"/>
        </w:rPr>
        <w:t>12 сегмент «Специальное, р</w:t>
      </w:r>
      <w:r>
        <w:rPr>
          <w:sz w:val="24"/>
        </w:rPr>
        <w:t>итуальное использование, запас»;</w:t>
      </w:r>
    </w:p>
    <w:p w:rsidR="00E85D42" w:rsidRDefault="008113B9">
      <w:pPr>
        <w:numPr>
          <w:ilvl w:val="0"/>
          <w:numId w:val="23"/>
        </w:numPr>
        <w:jc w:val="both"/>
        <w:rPr>
          <w:sz w:val="24"/>
        </w:rPr>
      </w:pPr>
      <w:r>
        <w:rPr>
          <w:sz w:val="24"/>
        </w:rPr>
        <w:t>13 сегмент «Садоводческое, огородническое и дачное использование, малоэтажная жилая застройка»;</w:t>
      </w:r>
    </w:p>
    <w:p w:rsidR="00E85D42" w:rsidRDefault="008113B9">
      <w:pPr>
        <w:numPr>
          <w:ilvl w:val="0"/>
          <w:numId w:val="23"/>
        </w:numPr>
        <w:tabs>
          <w:tab w:val="left" w:pos="928"/>
        </w:tabs>
        <w:ind w:left="924" w:hanging="357"/>
        <w:jc w:val="both"/>
        <w:rPr>
          <w:sz w:val="24"/>
        </w:rPr>
      </w:pPr>
      <w:r>
        <w:rPr>
          <w:sz w:val="24"/>
        </w:rPr>
        <w:t>14 сегмент «Иное использование» - вид использования земельных участков, не указанный в предыдущих 13 сегментах. При отнесении в</w:t>
      </w:r>
      <w:r>
        <w:rPr>
          <w:sz w:val="24"/>
        </w:rPr>
        <w:t xml:space="preserve"> эту группу обязательно проводится дополнительная группировка по одинаковым видам использования с указанием вида использования земельных участков.</w:t>
      </w:r>
    </w:p>
    <w:p w:rsidR="00E85D42" w:rsidRDefault="008113B9">
      <w:pPr>
        <w:ind w:firstLine="540"/>
        <w:jc w:val="both"/>
        <w:rPr>
          <w:sz w:val="24"/>
        </w:rPr>
      </w:pPr>
      <w:r>
        <w:rPr>
          <w:sz w:val="24"/>
        </w:rPr>
        <w:t>Перечень земельных участков, подлежащих государственной кадастровой оценке содержит 1 541 417 единиц учета (з</w:t>
      </w:r>
      <w:r>
        <w:rPr>
          <w:sz w:val="24"/>
        </w:rPr>
        <w:t>емельных участков), в том числе: земельные участки категории «земли водного фонда» - 161, земельные участки категории «земли населенных пунктов» - 1 541 256. В ходе обработки перечня, земельные участки были разгруппированы по виду разрешенного использовани</w:t>
      </w:r>
      <w:r>
        <w:rPr>
          <w:sz w:val="24"/>
        </w:rPr>
        <w:t xml:space="preserve">я земельных участков в соответствии с Классификатором № 540 и распределены по сегментам. </w:t>
      </w:r>
    </w:p>
    <w:p w:rsidR="00E85D42" w:rsidRDefault="00E85D42"/>
    <w:p w:rsidR="00E85D42" w:rsidRDefault="008113B9">
      <w:pPr>
        <w:ind w:left="1276" w:hanging="1276"/>
        <w:jc w:val="both"/>
      </w:pPr>
      <w:r>
        <w:rPr>
          <w:sz w:val="24"/>
        </w:rPr>
        <w:t>Таблица 3.3.1 – Состав земельных участков в разрезе сегментов и групп</w:t>
      </w:r>
    </w:p>
    <w:tbl>
      <w:tblPr>
        <w:tblW w:w="5000" w:type="pct"/>
        <w:tblLayout w:type="fixed"/>
        <w:tblCellMar>
          <w:left w:w="10" w:type="dxa"/>
          <w:right w:w="10" w:type="dxa"/>
        </w:tblCellMar>
        <w:tblLook w:val="04A0" w:firstRow="1" w:lastRow="0" w:firstColumn="1" w:lastColumn="0" w:noHBand="0" w:noVBand="1"/>
      </w:tblPr>
      <w:tblGrid>
        <w:gridCol w:w="2646"/>
        <w:gridCol w:w="5457"/>
        <w:gridCol w:w="1611"/>
      </w:tblGrid>
      <w:tr w:rsidR="00E85D42">
        <w:tblPrEx>
          <w:tblCellMar>
            <w:top w:w="0" w:type="dxa"/>
            <w:bottom w:w="0" w:type="dxa"/>
          </w:tblCellMar>
        </w:tblPrEx>
        <w:trPr>
          <w:trHeight w:val="525"/>
          <w:tblHeader/>
        </w:trPr>
        <w:tc>
          <w:tcPr>
            <w:tcW w:w="26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Сегмент</w:t>
            </w:r>
          </w:p>
        </w:tc>
        <w:tc>
          <w:tcPr>
            <w:tcW w:w="545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Код расчета вида использования</w:t>
            </w:r>
          </w:p>
        </w:tc>
        <w:tc>
          <w:tcPr>
            <w:tcW w:w="161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Количество земельных участков в сегменте, ед.</w:t>
            </w:r>
          </w:p>
        </w:tc>
      </w:tr>
      <w:tr w:rsidR="00E85D42">
        <w:tblPrEx>
          <w:tblCellMar>
            <w:top w:w="0" w:type="dxa"/>
            <w:bottom w:w="0" w:type="dxa"/>
          </w:tblCellMar>
        </w:tblPrEx>
        <w:trPr>
          <w:trHeight w:val="780"/>
        </w:trPr>
        <w:tc>
          <w:tcPr>
            <w:tcW w:w="264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 xml:space="preserve">1. </w:t>
            </w:r>
            <w:r>
              <w:rPr>
                <w:color w:val="000000"/>
              </w:rPr>
              <w:t>СЕГМЕНТ "Сельскохозяйственное использование"</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01:000;01:010;01:020;01:030;01:031;01:032;01:041;01:042;01:050;01:051;01:052;01:070;01:080;01:081;01:082;01:083;01:084;01:085;01:086;01:120;01:121;01:130;01:131;01:140;01:141;01:142;01:160;01:170;01:171;02:012;0</w:t>
            </w:r>
            <w:r>
              <w:rPr>
                <w:color w:val="000000"/>
              </w:rPr>
              <w:t>2:015;02:022;02:033</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10703</w:t>
            </w:r>
          </w:p>
        </w:tc>
      </w:tr>
      <w:tr w:rsidR="00E85D42">
        <w:tblPrEx>
          <w:tblCellMar>
            <w:top w:w="0" w:type="dxa"/>
            <w:bottom w:w="0" w:type="dxa"/>
          </w:tblCellMar>
        </w:tblPrEx>
        <w:trPr>
          <w:trHeight w:val="31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2. СЕГМЕНТ Жилая застройка среднеэтажная и многоэтажная</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02:000;02:050;02:051;02:060;02:061</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17701</w:t>
            </w:r>
          </w:p>
        </w:tc>
      </w:tr>
      <w:tr w:rsidR="00E85D42">
        <w:tblPrEx>
          <w:tblCellMar>
            <w:top w:w="0" w:type="dxa"/>
            <w:bottom w:w="0" w:type="dxa"/>
          </w:tblCellMar>
        </w:tblPrEx>
        <w:trPr>
          <w:trHeight w:val="1290"/>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3. СЕГМЕНТ Общественное использование</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01:143;03:000;03:010;03:013;03:020;03:021;03:022;03:023;03:030;03:031;03:032;03:033;03:034;03:035;03:040;03:041;03:042;03:050;03:051;03:052;03:060;03:061;03:062;03:070;03:071;03:072;03:073;03:080;03:081;03:082;03:083;03:090;03:091;03:092;03:100;03:101;03:1</w:t>
            </w:r>
            <w:r>
              <w:rPr>
                <w:color w:val="000000"/>
              </w:rPr>
              <w:t>02;03:103;05:010;05:011;05:012;05:020;05:021;05:051;07:021;07:022;08:022;08:030;08:041;09:030</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22302</w:t>
            </w:r>
          </w:p>
        </w:tc>
      </w:tr>
      <w:tr w:rsidR="00E85D42">
        <w:tblPrEx>
          <w:tblCellMar>
            <w:top w:w="0" w:type="dxa"/>
            <w:bottom w:w="0" w:type="dxa"/>
          </w:tblCellMar>
        </w:tblPrEx>
        <w:trPr>
          <w:trHeight w:val="82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4. СЕГМЕНТ Предпринимательство</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01:183;02:017;02:053;02:063;03:063;03:064;04:000;04:010;04:020;04:030;04:040;04:050;04:060;04:080;04:081;04:082;04:083;04:084;04:096;04:100;05:013;05:050;08:021</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30083</w:t>
            </w:r>
          </w:p>
        </w:tc>
      </w:tr>
      <w:tr w:rsidR="00E85D42">
        <w:tblPrEx>
          <w:tblCellMar>
            <w:top w:w="0" w:type="dxa"/>
            <w:bottom w:w="0" w:type="dxa"/>
          </w:tblCellMar>
        </w:tblPrEx>
        <w:trPr>
          <w:trHeight w:val="31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5. СЕГМЕНТ Отдых рекреация</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02:040;04:070;04:097;05:000;05:014;05:022;05:030;08:040;09:</w:t>
            </w:r>
            <w:r>
              <w:rPr>
                <w:color w:val="000000"/>
              </w:rPr>
              <w:t>021;09:023</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1135</w:t>
            </w:r>
          </w:p>
        </w:tc>
      </w:tr>
      <w:tr w:rsidR="00E85D42">
        <w:tblPrEx>
          <w:tblCellMar>
            <w:top w:w="0" w:type="dxa"/>
            <w:bottom w:w="0" w:type="dxa"/>
          </w:tblCellMar>
        </w:tblPrEx>
        <w:trPr>
          <w:trHeight w:val="1800"/>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6. СЕГМЕНТ Производственная деятельность</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01:087;01:088;01:090;01:091;01:100;01:101;01:102;01:110;01:111;01:112;01:122;01:132;01:150;01:172;01:180;01:181;01:182;03:011;03:012;03:093;04:095;04:098;04:099;05:040;06:000;06:010;06:011;06:012;06:013;06:014;06:020;06:021;06:030;06:031;06:040;06:050;06:0</w:t>
            </w:r>
            <w:r>
              <w:rPr>
                <w:color w:val="000000"/>
              </w:rPr>
              <w:t>60;06:070;06:071;06:072;06:073;06:074;06:080;06:090;06:091;06:092;06:093;06:110;06:111;07:010;07:011;07:012;07:013;07:015;07:020;07:030;07:031;07:032;07:040;07:041;07:042;07:050;07:051;08:012;08:013;08:031;10:011;11:030;12:001</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108303</w:t>
            </w:r>
          </w:p>
        </w:tc>
      </w:tr>
      <w:tr w:rsidR="00E85D42">
        <w:tblPrEx>
          <w:tblCellMar>
            <w:top w:w="0" w:type="dxa"/>
            <w:bottom w:w="0" w:type="dxa"/>
          </w:tblCellMar>
        </w:tblPrEx>
        <w:trPr>
          <w:trHeight w:val="31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7. СЕГМЕНТ Транспорт</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02:071;04:021;04:031;04:090;04:091;04:092;04:093;04:094;07:023;07:024</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76142</w:t>
            </w:r>
          </w:p>
        </w:tc>
      </w:tr>
      <w:tr w:rsidR="00E85D42">
        <w:tblPrEx>
          <w:tblCellMar>
            <w:top w:w="0" w:type="dxa"/>
            <w:bottom w:w="0" w:type="dxa"/>
          </w:tblCellMar>
        </w:tblPrEx>
        <w:trPr>
          <w:trHeight w:val="31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8. СЕГМЕНТ "Обеспечение обороны и безопасности"</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08:000</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83</w:t>
            </w:r>
          </w:p>
        </w:tc>
      </w:tr>
      <w:tr w:rsidR="00E85D42">
        <w:tblPrEx>
          <w:tblCellMar>
            <w:top w:w="0" w:type="dxa"/>
            <w:bottom w:w="0" w:type="dxa"/>
          </w:tblCellMar>
        </w:tblPrEx>
        <w:trPr>
          <w:trHeight w:val="52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9. СЕГМЕНТ Охраняемые природные территории и благоустройство</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02:016;02:032;02:052;02:062;05:031;09:000;09:010;09:020;09:022;12:002;12:003;13:022;13:032</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7311</w:t>
            </w:r>
          </w:p>
        </w:tc>
      </w:tr>
      <w:tr w:rsidR="00E85D42">
        <w:tblPrEx>
          <w:tblCellMar>
            <w:top w:w="0" w:type="dxa"/>
            <w:bottom w:w="0" w:type="dxa"/>
          </w:tblCellMar>
        </w:tblPrEx>
        <w:trPr>
          <w:trHeight w:val="31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10. СЕГМЕНТ Использование лесов</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10:010;10:020;10:030;10:040</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389</w:t>
            </w:r>
          </w:p>
        </w:tc>
      </w:tr>
      <w:tr w:rsidR="00E85D42">
        <w:tblPrEx>
          <w:tblCellMar>
            <w:top w:w="0" w:type="dxa"/>
            <w:bottom w:w="0" w:type="dxa"/>
          </w:tblCellMar>
        </w:tblPrEx>
        <w:trPr>
          <w:trHeight w:val="31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11. СЕГМЕНТ Водные объекты</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11:000;11:010;11:020</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565</w:t>
            </w:r>
          </w:p>
        </w:tc>
      </w:tr>
      <w:tr w:rsidR="00E85D42">
        <w:tblPrEx>
          <w:tblCellMar>
            <w:top w:w="0" w:type="dxa"/>
            <w:bottom w:w="0" w:type="dxa"/>
          </w:tblCellMar>
        </w:tblPrEx>
        <w:trPr>
          <w:trHeight w:val="31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 xml:space="preserve">12. СЕГМЕНТ Специальное, ритуальное </w:t>
            </w:r>
            <w:r>
              <w:rPr>
                <w:color w:val="000000"/>
              </w:rPr>
              <w:t>использование, запас</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08:011;12:000;12:010;12:020;12:021;12:030</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5351</w:t>
            </w:r>
          </w:p>
        </w:tc>
      </w:tr>
      <w:tr w:rsidR="00E85D42">
        <w:tblPrEx>
          <w:tblCellMar>
            <w:top w:w="0" w:type="dxa"/>
            <w:bottom w:w="0" w:type="dxa"/>
          </w:tblCellMar>
        </w:tblPrEx>
        <w:trPr>
          <w:trHeight w:val="52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13. СЕГМЕНТ Садоводческое, огородническое и дачное использование, малоэтажная жилая застройка</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02:010;02:011;02:013;02:014;02:020;02:021;02:030;02:031;13:000;13:011;13:021;13:031</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1256030</w:t>
            </w:r>
          </w:p>
        </w:tc>
      </w:tr>
      <w:tr w:rsidR="00E85D42">
        <w:tblPrEx>
          <w:tblCellMar>
            <w:top w:w="0" w:type="dxa"/>
            <w:bottom w:w="0" w:type="dxa"/>
          </w:tblCellMar>
        </w:tblPrEx>
        <w:trPr>
          <w:trHeight w:val="31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color w:val="000000"/>
              </w:rPr>
            </w:pPr>
            <w:r>
              <w:rPr>
                <w:color w:val="000000"/>
              </w:rPr>
              <w:t>14. СЕГМЕНТ "Иное использование"</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color w:val="000000"/>
              </w:rPr>
            </w:pPr>
            <w:r>
              <w:rPr>
                <w:color w:val="000000"/>
              </w:rPr>
              <w:t>14:000</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5319</w:t>
            </w:r>
          </w:p>
        </w:tc>
      </w:tr>
      <w:tr w:rsidR="00E85D42">
        <w:tblPrEx>
          <w:tblCellMar>
            <w:top w:w="0" w:type="dxa"/>
            <w:bottom w:w="0" w:type="dxa"/>
          </w:tblCellMar>
        </w:tblPrEx>
        <w:trPr>
          <w:trHeight w:val="315"/>
        </w:trPr>
        <w:tc>
          <w:tcPr>
            <w:tcW w:w="264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rsidR="00E85D42" w:rsidRDefault="008113B9">
            <w:pPr>
              <w:rPr>
                <w:b/>
                <w:bCs/>
                <w:color w:val="000000"/>
              </w:rPr>
            </w:pPr>
            <w:r>
              <w:rPr>
                <w:b/>
                <w:bCs/>
                <w:color w:val="000000"/>
              </w:rPr>
              <w:t>Итого:</w:t>
            </w:r>
          </w:p>
        </w:tc>
        <w:tc>
          <w:tcPr>
            <w:tcW w:w="54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rPr>
                <w:b/>
                <w:bCs/>
                <w:color w:val="000000"/>
              </w:rPr>
            </w:pPr>
            <w:r>
              <w:rPr>
                <w:b/>
                <w:bCs/>
                <w:color w:val="000000"/>
              </w:rPr>
              <w:t> </w:t>
            </w:r>
          </w:p>
        </w:tc>
        <w:tc>
          <w:tcPr>
            <w:tcW w:w="161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rPr>
            </w:pPr>
            <w:r>
              <w:rPr>
                <w:b/>
                <w:bCs/>
                <w:color w:val="000000"/>
              </w:rPr>
              <w:t>1541417</w:t>
            </w:r>
          </w:p>
        </w:tc>
      </w:tr>
    </w:tbl>
    <w:p w:rsidR="00E85D42" w:rsidRDefault="00E85D42">
      <w:pPr>
        <w:ind w:left="1276" w:hanging="1276"/>
        <w:jc w:val="both"/>
        <w:rPr>
          <w:sz w:val="24"/>
        </w:rPr>
      </w:pPr>
    </w:p>
    <w:p w:rsidR="00E85D42" w:rsidRDefault="008113B9">
      <w:pPr>
        <w:ind w:firstLine="708"/>
        <w:jc w:val="both"/>
        <w:rPr>
          <w:sz w:val="24"/>
        </w:rPr>
      </w:pPr>
      <w:r>
        <w:rPr>
          <w:sz w:val="24"/>
        </w:rPr>
        <w:t xml:space="preserve">В целях проведения кадастровой оценки, 28 167 обособленных земельных участков были разгруппированы по ВРИ земельных участков в соответствии с Классификатором № 540, распределены по сегментам </w:t>
      </w:r>
      <w:r>
        <w:rPr>
          <w:sz w:val="24"/>
        </w:rPr>
        <w:t>и рассчитаны в соответствии с Методическими указаниями. Кадастровая стоимость единых землепользований определялась как сумма кадастровых стоимостей обособленных земельных участков, входящих в их состав.</w:t>
      </w:r>
    </w:p>
    <w:p w:rsidR="00E85D42" w:rsidRDefault="00E85D42">
      <w:pPr>
        <w:ind w:firstLine="708"/>
        <w:jc w:val="both"/>
        <w:rPr>
          <w:sz w:val="24"/>
        </w:rPr>
      </w:pPr>
    </w:p>
    <w:p w:rsidR="00E85D42" w:rsidRDefault="008113B9">
      <w:pPr>
        <w:keepNext/>
        <w:ind w:firstLine="576"/>
        <w:jc w:val="both"/>
        <w:outlineLvl w:val="1"/>
        <w:rPr>
          <w:b/>
          <w:sz w:val="24"/>
        </w:rPr>
      </w:pPr>
      <w:bookmarkStart w:id="136" w:name="_Toc11934894"/>
      <w:r>
        <w:rPr>
          <w:b/>
          <w:sz w:val="24"/>
        </w:rPr>
        <w:t>3.4. Обоснование выбора подходов и методов, использо</w:t>
      </w:r>
      <w:r>
        <w:rPr>
          <w:b/>
          <w:sz w:val="24"/>
        </w:rPr>
        <w:t>ванных для определения кадастровой стоимости объектов недвижимости</w:t>
      </w:r>
      <w:bookmarkEnd w:id="136"/>
    </w:p>
    <w:p w:rsidR="00E85D42" w:rsidRDefault="008113B9">
      <w:pPr>
        <w:ind w:firstLine="567"/>
        <w:jc w:val="both"/>
        <w:rPr>
          <w:sz w:val="24"/>
        </w:rPr>
      </w:pPr>
      <w:r>
        <w:rPr>
          <w:sz w:val="24"/>
        </w:rPr>
        <w:t>Классическими подходами к оценке стоимости недвижимости являются:</w:t>
      </w:r>
    </w:p>
    <w:p w:rsidR="00E85D42" w:rsidRDefault="008113B9">
      <w:pPr>
        <w:ind w:firstLine="567"/>
        <w:jc w:val="both"/>
        <w:rPr>
          <w:sz w:val="24"/>
        </w:rPr>
      </w:pPr>
      <w:r>
        <w:rPr>
          <w:sz w:val="24"/>
        </w:rPr>
        <w:t>сравнительный подход;</w:t>
      </w:r>
    </w:p>
    <w:p w:rsidR="00E85D42" w:rsidRDefault="008113B9">
      <w:pPr>
        <w:ind w:firstLine="567"/>
        <w:jc w:val="both"/>
        <w:rPr>
          <w:sz w:val="24"/>
        </w:rPr>
      </w:pPr>
      <w:r>
        <w:rPr>
          <w:sz w:val="24"/>
        </w:rPr>
        <w:t>доходный подход;</w:t>
      </w:r>
    </w:p>
    <w:p w:rsidR="00E85D42" w:rsidRDefault="008113B9">
      <w:pPr>
        <w:ind w:firstLine="567"/>
        <w:jc w:val="both"/>
        <w:rPr>
          <w:sz w:val="24"/>
        </w:rPr>
      </w:pPr>
      <w:r>
        <w:rPr>
          <w:sz w:val="24"/>
        </w:rPr>
        <w:t>затратный подход.</w:t>
      </w:r>
    </w:p>
    <w:p w:rsidR="00E85D42" w:rsidRDefault="008113B9">
      <w:pPr>
        <w:ind w:firstLine="567"/>
        <w:jc w:val="both"/>
        <w:rPr>
          <w:sz w:val="24"/>
        </w:rPr>
      </w:pPr>
      <w:r>
        <w:rPr>
          <w:sz w:val="24"/>
        </w:rPr>
        <w:t xml:space="preserve">При оценке рыночной стоимости объекта недвижимости используются </w:t>
      </w:r>
      <w:r>
        <w:rPr>
          <w:sz w:val="24"/>
        </w:rPr>
        <w:t>подходы, изложенные в главе VII Методических указаний.</w:t>
      </w:r>
    </w:p>
    <w:p w:rsidR="00E85D42" w:rsidRDefault="008113B9">
      <w:pPr>
        <w:keepNext/>
        <w:tabs>
          <w:tab w:val="left" w:pos="851"/>
        </w:tabs>
        <w:ind w:left="864"/>
        <w:outlineLvl w:val="3"/>
        <w:rPr>
          <w:b/>
          <w:iCs/>
          <w:sz w:val="24"/>
        </w:rPr>
      </w:pPr>
      <w:bookmarkStart w:id="137" w:name="_Toc511658828"/>
      <w:bookmarkStart w:id="138" w:name="_Toc11934895"/>
      <w:r>
        <w:rPr>
          <w:b/>
          <w:iCs/>
          <w:sz w:val="24"/>
        </w:rPr>
        <w:t>3.4.1. Сравнительный подход</w:t>
      </w:r>
      <w:bookmarkEnd w:id="137"/>
      <w:bookmarkEnd w:id="138"/>
    </w:p>
    <w:p w:rsidR="00E85D42" w:rsidRDefault="008113B9">
      <w:pPr>
        <w:ind w:firstLine="567"/>
        <w:jc w:val="both"/>
        <w:rPr>
          <w:sz w:val="24"/>
        </w:rPr>
      </w:pPr>
      <w:r>
        <w:rPr>
          <w:sz w:val="24"/>
        </w:rPr>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w:t>
      </w:r>
      <w:r>
        <w:rPr>
          <w:sz w:val="24"/>
        </w:rPr>
        <w:t xml:space="preserve">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rsidR="00E85D42" w:rsidRDefault="008113B9">
      <w:pPr>
        <w:ind w:firstLine="567"/>
        <w:jc w:val="both"/>
        <w:rPr>
          <w:sz w:val="24"/>
        </w:rPr>
      </w:pPr>
      <w:r>
        <w:rPr>
          <w:sz w:val="24"/>
        </w:rPr>
        <w:t xml:space="preserve">Сравнительный подход не используется или используется только для проверки результатов, полученных с </w:t>
      </w:r>
      <w:r>
        <w:rPr>
          <w:sz w:val="24"/>
        </w:rPr>
        <w:t>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rsidR="00E85D42" w:rsidRDefault="008113B9">
      <w:pPr>
        <w:ind w:firstLine="567"/>
        <w:jc w:val="both"/>
        <w:rPr>
          <w:sz w:val="24"/>
        </w:rPr>
      </w:pPr>
      <w:r>
        <w:rPr>
          <w:sz w:val="24"/>
        </w:rPr>
        <w:t>Определение кадастровой стоимости в рамках сравнительного подхода осуществля</w:t>
      </w:r>
      <w:r>
        <w:rPr>
          <w:sz w:val="24"/>
        </w:rPr>
        <w:t>ется одним из следующих способов (методов):</w:t>
      </w:r>
    </w:p>
    <w:p w:rsidR="00E85D42" w:rsidRDefault="008113B9">
      <w:pPr>
        <w:numPr>
          <w:ilvl w:val="1"/>
          <w:numId w:val="24"/>
        </w:numPr>
        <w:tabs>
          <w:tab w:val="left" w:pos="1276"/>
          <w:tab w:val="left" w:pos="1581"/>
        </w:tabs>
        <w:ind w:left="993" w:hanging="426"/>
        <w:jc w:val="both"/>
        <w:rPr>
          <w:sz w:val="24"/>
        </w:rPr>
      </w:pPr>
      <w:r>
        <w:rPr>
          <w:sz w:val="24"/>
        </w:rPr>
        <w:t>Метод статистического (регрессионного) моделирования.</w:t>
      </w:r>
    </w:p>
    <w:p w:rsidR="00E85D42" w:rsidRDefault="008113B9">
      <w:pPr>
        <w:ind w:firstLine="568"/>
        <w:jc w:val="both"/>
        <w:rPr>
          <w:sz w:val="24"/>
        </w:rPr>
      </w:pPr>
      <w:r>
        <w:rPr>
          <w:sz w:val="24"/>
        </w:rPr>
        <w:t>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w:t>
      </w:r>
      <w:r>
        <w:rPr>
          <w:sz w:val="24"/>
        </w:rPr>
        <w:t>симых переменных (ценообразующие факторы объектов недвижимости).</w:t>
      </w:r>
    </w:p>
    <w:p w:rsidR="00E85D42" w:rsidRDefault="008113B9">
      <w:pPr>
        <w:ind w:firstLine="568"/>
        <w:jc w:val="both"/>
        <w:rPr>
          <w:sz w:val="24"/>
        </w:rPr>
      </w:pPr>
      <w:r>
        <w:rPr>
          <w:sz w:val="24"/>
        </w:rPr>
        <w:t>Порядок подготовки и построения модели оценки кадастровой стоимости включает:</w:t>
      </w:r>
    </w:p>
    <w:p w:rsidR="00E85D42" w:rsidRDefault="008113B9">
      <w:pPr>
        <w:numPr>
          <w:ilvl w:val="0"/>
          <w:numId w:val="25"/>
        </w:numPr>
        <w:ind w:left="567" w:hanging="579"/>
        <w:jc w:val="both"/>
        <w:rPr>
          <w:sz w:val="24"/>
        </w:rPr>
      </w:pPr>
      <w:r>
        <w:rPr>
          <w:sz w:val="24"/>
        </w:rPr>
        <w:t>определение перечня ценообразующих факторов, описывающих влияние местоположения объектов недвижимости как составн</w:t>
      </w:r>
      <w:r>
        <w:rPr>
          <w:sz w:val="24"/>
        </w:rPr>
        <w:t>ого фактора;</w:t>
      </w:r>
    </w:p>
    <w:p w:rsidR="00E85D42" w:rsidRDefault="008113B9">
      <w:pPr>
        <w:numPr>
          <w:ilvl w:val="0"/>
          <w:numId w:val="25"/>
        </w:numPr>
        <w:ind w:left="567" w:hanging="579"/>
        <w:jc w:val="both"/>
        <w:rPr>
          <w:sz w:val="24"/>
        </w:rPr>
      </w:pPr>
      <w:r>
        <w:rPr>
          <w:sz w:val="24"/>
        </w:rPr>
        <w:t>определение состава ценообразующих факторов, включаемых в статистическую модель, с учетом местоположения объектов недвижимости;</w:t>
      </w:r>
    </w:p>
    <w:p w:rsidR="00E85D42" w:rsidRDefault="008113B9">
      <w:pPr>
        <w:numPr>
          <w:ilvl w:val="0"/>
          <w:numId w:val="25"/>
        </w:numPr>
        <w:ind w:left="567" w:hanging="579"/>
        <w:jc w:val="both"/>
        <w:rPr>
          <w:sz w:val="24"/>
        </w:rPr>
      </w:pPr>
      <w:r>
        <w:rPr>
          <w:sz w:val="24"/>
        </w:rPr>
        <w:t>определение общего вида функций, связывающих зависимую переменную с каждым из ценообразующих факторов;</w:t>
      </w:r>
    </w:p>
    <w:p w:rsidR="00E85D42" w:rsidRDefault="008113B9">
      <w:pPr>
        <w:numPr>
          <w:ilvl w:val="0"/>
          <w:numId w:val="25"/>
        </w:numPr>
        <w:ind w:left="567" w:hanging="579"/>
        <w:jc w:val="both"/>
        <w:rPr>
          <w:sz w:val="24"/>
        </w:rPr>
      </w:pPr>
      <w:r>
        <w:rPr>
          <w:sz w:val="24"/>
        </w:rPr>
        <w:t xml:space="preserve">определение </w:t>
      </w:r>
      <w:r>
        <w:rPr>
          <w:sz w:val="24"/>
        </w:rPr>
        <w:t>конкретного вида зависимостей переменной от ценообразующих факторов (с построением графиков) и расчет коэффициентов статистической модели;</w:t>
      </w:r>
    </w:p>
    <w:p w:rsidR="00E85D42" w:rsidRDefault="008113B9">
      <w:pPr>
        <w:numPr>
          <w:ilvl w:val="0"/>
          <w:numId w:val="25"/>
        </w:numPr>
        <w:ind w:left="567" w:hanging="579"/>
        <w:jc w:val="both"/>
        <w:rPr>
          <w:sz w:val="24"/>
        </w:rPr>
      </w:pPr>
      <w:r>
        <w:rPr>
          <w:sz w:val="24"/>
        </w:rPr>
        <w:t>анализ показателей качества статистической модели;</w:t>
      </w:r>
    </w:p>
    <w:p w:rsidR="00E85D42" w:rsidRDefault="008113B9">
      <w:pPr>
        <w:numPr>
          <w:ilvl w:val="1"/>
          <w:numId w:val="24"/>
        </w:numPr>
        <w:tabs>
          <w:tab w:val="left" w:pos="1276"/>
          <w:tab w:val="left" w:pos="1581"/>
        </w:tabs>
        <w:ind w:left="993" w:hanging="426"/>
        <w:jc w:val="both"/>
        <w:rPr>
          <w:sz w:val="24"/>
        </w:rPr>
      </w:pPr>
      <w:r>
        <w:rPr>
          <w:sz w:val="24"/>
        </w:rPr>
        <w:t>Метод типового (эталонного) объекта недвижимости.</w:t>
      </w:r>
    </w:p>
    <w:p w:rsidR="00E85D42" w:rsidRDefault="008113B9">
      <w:pPr>
        <w:ind w:firstLine="568"/>
        <w:jc w:val="both"/>
        <w:rPr>
          <w:sz w:val="24"/>
        </w:rPr>
      </w:pPr>
      <w:r>
        <w:rPr>
          <w:sz w:val="24"/>
        </w:rPr>
        <w:t xml:space="preserve">При применении </w:t>
      </w:r>
      <w:r>
        <w:rPr>
          <w:sz w:val="24"/>
        </w:rPr>
        <w:t>данного метода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w:t>
      </w:r>
      <w:r>
        <w:rPr>
          <w:sz w:val="24"/>
        </w:rPr>
        <w:t>и.</w:t>
      </w:r>
    </w:p>
    <w:p w:rsidR="00E85D42" w:rsidRDefault="008113B9">
      <w:pPr>
        <w:widowControl w:val="0"/>
        <w:autoSpaceDE w:val="0"/>
        <w:ind w:firstLine="568"/>
        <w:jc w:val="both"/>
        <w:rPr>
          <w:sz w:val="24"/>
          <w:lang w:eastAsia="en-US"/>
        </w:rPr>
      </w:pPr>
      <w:r>
        <w:rPr>
          <w:sz w:val="24"/>
          <w:lang w:eastAsia="en-US"/>
        </w:rPr>
        <w:t>Метод типового (эталонного) объекта недвижимости заключается в следующем:</w:t>
      </w:r>
    </w:p>
    <w:p w:rsidR="00E85D42" w:rsidRDefault="008113B9">
      <w:pPr>
        <w:widowControl w:val="0"/>
        <w:numPr>
          <w:ilvl w:val="0"/>
          <w:numId w:val="26"/>
        </w:numPr>
        <w:autoSpaceDE w:val="0"/>
        <w:ind w:left="142" w:hanging="142"/>
        <w:jc w:val="both"/>
        <w:rPr>
          <w:sz w:val="24"/>
          <w:lang w:eastAsia="en-US"/>
        </w:rPr>
      </w:pPr>
      <w:r>
        <w:rPr>
          <w:sz w:val="24"/>
          <w:lang w:eastAsia="en-US"/>
        </w:rPr>
        <w:t>определяется группа (подгруппа) объектов недвижимости, в которой возможно (целесообразно) типологизировать объекты недвижимости;</w:t>
      </w:r>
    </w:p>
    <w:p w:rsidR="00E85D42" w:rsidRDefault="008113B9">
      <w:pPr>
        <w:widowControl w:val="0"/>
        <w:numPr>
          <w:ilvl w:val="0"/>
          <w:numId w:val="26"/>
        </w:numPr>
        <w:autoSpaceDE w:val="0"/>
        <w:ind w:left="142" w:hanging="142"/>
        <w:jc w:val="both"/>
        <w:rPr>
          <w:sz w:val="24"/>
          <w:lang w:eastAsia="en-US"/>
        </w:rPr>
      </w:pPr>
      <w:r>
        <w:rPr>
          <w:sz w:val="24"/>
          <w:lang w:eastAsia="en-US"/>
        </w:rPr>
        <w:t xml:space="preserve">определяется основание типологизации - </w:t>
      </w:r>
      <w:r>
        <w:rPr>
          <w:sz w:val="24"/>
          <w:lang w:eastAsia="en-US"/>
        </w:rPr>
        <w:t>характеристика или группа характеристик объектов недвижимости, на основании которых можно их сгруппировать;</w:t>
      </w:r>
    </w:p>
    <w:p w:rsidR="00E85D42" w:rsidRDefault="008113B9">
      <w:pPr>
        <w:widowControl w:val="0"/>
        <w:numPr>
          <w:ilvl w:val="0"/>
          <w:numId w:val="26"/>
        </w:numPr>
        <w:autoSpaceDE w:val="0"/>
        <w:ind w:left="142" w:hanging="142"/>
        <w:jc w:val="both"/>
        <w:rPr>
          <w:sz w:val="24"/>
          <w:lang w:eastAsia="en-US"/>
        </w:rPr>
      </w:pPr>
      <w:r>
        <w:rPr>
          <w:sz w:val="24"/>
          <w:lang w:eastAsia="en-US"/>
        </w:rPr>
        <w:t>проводится типологизация объектов недвижимости;</w:t>
      </w:r>
    </w:p>
    <w:p w:rsidR="00E85D42" w:rsidRDefault="008113B9">
      <w:pPr>
        <w:widowControl w:val="0"/>
        <w:numPr>
          <w:ilvl w:val="0"/>
          <w:numId w:val="26"/>
        </w:numPr>
        <w:autoSpaceDE w:val="0"/>
        <w:ind w:left="142" w:hanging="142"/>
        <w:jc w:val="both"/>
        <w:rPr>
          <w:sz w:val="24"/>
          <w:lang w:eastAsia="en-US"/>
        </w:rPr>
      </w:pPr>
      <w:r>
        <w:rPr>
          <w:sz w:val="24"/>
          <w:lang w:eastAsia="en-US"/>
        </w:rPr>
        <w:t>формируется типовой (эталонный) объект недвижимости;</w:t>
      </w:r>
    </w:p>
    <w:p w:rsidR="00E85D42" w:rsidRDefault="008113B9">
      <w:pPr>
        <w:widowControl w:val="0"/>
        <w:numPr>
          <w:ilvl w:val="0"/>
          <w:numId w:val="26"/>
        </w:numPr>
        <w:autoSpaceDE w:val="0"/>
        <w:ind w:left="142" w:hanging="142"/>
        <w:jc w:val="both"/>
        <w:rPr>
          <w:sz w:val="24"/>
          <w:lang w:eastAsia="en-US"/>
        </w:rPr>
      </w:pPr>
      <w:r>
        <w:rPr>
          <w:sz w:val="24"/>
          <w:lang w:eastAsia="en-US"/>
        </w:rPr>
        <w:t>определяется стоимость типового (эталонного) об</w:t>
      </w:r>
      <w:r>
        <w:rPr>
          <w:sz w:val="24"/>
          <w:lang w:eastAsia="en-US"/>
        </w:rPr>
        <w:t>ъекта недвижимости;</w:t>
      </w:r>
    </w:p>
    <w:p w:rsidR="00E85D42" w:rsidRDefault="008113B9">
      <w:pPr>
        <w:widowControl w:val="0"/>
        <w:numPr>
          <w:ilvl w:val="0"/>
          <w:numId w:val="26"/>
        </w:numPr>
        <w:autoSpaceDE w:val="0"/>
        <w:ind w:left="142" w:hanging="142"/>
        <w:jc w:val="both"/>
        <w:rPr>
          <w:sz w:val="24"/>
          <w:lang w:eastAsia="en-US"/>
        </w:rPr>
      </w:pPr>
      <w:r>
        <w:rPr>
          <w:sz w:val="24"/>
          <w:lang w:eastAsia="en-US"/>
        </w:rPr>
        <w:t>корректируются стоимости объектов недвижимости при распространении на них стоимости типового (эталонного) объекта недвижимости;</w:t>
      </w:r>
    </w:p>
    <w:p w:rsidR="00E85D42" w:rsidRDefault="008113B9">
      <w:pPr>
        <w:numPr>
          <w:ilvl w:val="1"/>
          <w:numId w:val="24"/>
        </w:numPr>
        <w:tabs>
          <w:tab w:val="left" w:pos="1276"/>
          <w:tab w:val="left" w:pos="1581"/>
        </w:tabs>
        <w:ind w:left="993" w:hanging="426"/>
        <w:jc w:val="both"/>
        <w:rPr>
          <w:sz w:val="24"/>
        </w:rPr>
      </w:pPr>
      <w:r>
        <w:rPr>
          <w:sz w:val="24"/>
        </w:rPr>
        <w:t>Метод моделирования на основе удельных показателей кадастровой стоимости (УПКС).</w:t>
      </w:r>
    </w:p>
    <w:p w:rsidR="00E85D42" w:rsidRDefault="008113B9">
      <w:pPr>
        <w:widowControl w:val="0"/>
        <w:autoSpaceDE w:val="0"/>
        <w:ind w:firstLine="568"/>
        <w:jc w:val="both"/>
        <w:rPr>
          <w:sz w:val="24"/>
          <w:lang w:eastAsia="en-US"/>
        </w:rPr>
      </w:pPr>
      <w:r>
        <w:rPr>
          <w:sz w:val="24"/>
          <w:lang w:eastAsia="en-US"/>
        </w:rPr>
        <w:t xml:space="preserve"> Метод моделирования на осн</w:t>
      </w:r>
      <w:r>
        <w:rPr>
          <w:sz w:val="24"/>
          <w:lang w:eastAsia="en-US"/>
        </w:rPr>
        <w:t>ове удельных показателей кадастровой стоимости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w:t>
      </w:r>
      <w:r>
        <w:rPr>
          <w:sz w:val="24"/>
          <w:lang w:eastAsia="en-US"/>
        </w:rPr>
        <w:t>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w:t>
      </w:r>
      <w:r>
        <w:rPr>
          <w:sz w:val="24"/>
          <w:lang w:eastAsia="en-US"/>
        </w:rPr>
        <w:t>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w:t>
      </w:r>
      <w:r>
        <w:rPr>
          <w:sz w:val="24"/>
          <w:lang w:eastAsia="en-US"/>
        </w:rPr>
        <w:t>ределенного вида использования.</w:t>
      </w:r>
    </w:p>
    <w:p w:rsidR="00E85D42" w:rsidRDefault="008113B9">
      <w:pPr>
        <w:widowControl w:val="0"/>
        <w:autoSpaceDE w:val="0"/>
        <w:ind w:firstLine="568"/>
        <w:jc w:val="both"/>
        <w:rPr>
          <w:sz w:val="24"/>
          <w:lang w:eastAsia="en-US"/>
        </w:rPr>
      </w:pPr>
      <w:r>
        <w:rPr>
          <w:sz w:val="24"/>
          <w:lang w:eastAsia="en-US"/>
        </w:rPr>
        <w:t xml:space="preserve"> Метод заключается в следующем:</w:t>
      </w:r>
    </w:p>
    <w:p w:rsidR="00E85D42" w:rsidRDefault="008113B9">
      <w:pPr>
        <w:widowControl w:val="0"/>
        <w:numPr>
          <w:ilvl w:val="0"/>
          <w:numId w:val="27"/>
        </w:numPr>
        <w:autoSpaceDE w:val="0"/>
        <w:ind w:left="0" w:firstLine="0"/>
        <w:jc w:val="both"/>
        <w:rPr>
          <w:sz w:val="24"/>
          <w:lang w:eastAsia="en-US"/>
        </w:rPr>
      </w:pPr>
      <w:r>
        <w:rPr>
          <w:sz w:val="24"/>
          <w:lang w:eastAsia="en-US"/>
        </w:rPr>
        <w:t>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rsidR="00E85D42" w:rsidRDefault="008113B9">
      <w:pPr>
        <w:widowControl w:val="0"/>
        <w:numPr>
          <w:ilvl w:val="0"/>
          <w:numId w:val="27"/>
        </w:numPr>
        <w:autoSpaceDE w:val="0"/>
        <w:ind w:left="0" w:firstLine="0"/>
        <w:jc w:val="both"/>
        <w:rPr>
          <w:sz w:val="24"/>
          <w:lang w:eastAsia="en-US"/>
        </w:rPr>
      </w:pPr>
      <w:r>
        <w:rPr>
          <w:sz w:val="24"/>
          <w:lang w:eastAsia="en-US"/>
        </w:rPr>
        <w:t>определяется среднее значен</w:t>
      </w:r>
      <w:r>
        <w:rPr>
          <w:sz w:val="24"/>
          <w:lang w:eastAsia="en-US"/>
        </w:rPr>
        <w:t xml:space="preserve">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w:t>
      </w:r>
      <w:r>
        <w:rPr>
          <w:sz w:val="24"/>
          <w:lang w:eastAsia="en-US"/>
        </w:rPr>
        <w:t>в которой расположен объект недвижимости;</w:t>
      </w:r>
    </w:p>
    <w:p w:rsidR="00E85D42" w:rsidRDefault="008113B9">
      <w:pPr>
        <w:widowControl w:val="0"/>
        <w:numPr>
          <w:ilvl w:val="0"/>
          <w:numId w:val="27"/>
        </w:numPr>
        <w:autoSpaceDE w:val="0"/>
        <w:ind w:left="0" w:firstLine="0"/>
        <w:jc w:val="both"/>
        <w:rPr>
          <w:sz w:val="24"/>
          <w:lang w:eastAsia="en-US"/>
        </w:rPr>
      </w:pPr>
      <w:r>
        <w:rPr>
          <w:sz w:val="24"/>
          <w:lang w:eastAsia="en-US"/>
        </w:rPr>
        <w:t xml:space="preserve">кадастровая стоимость объекта недвижимости определяется путем умножения среднего значения УПКС объектов недвижимости, схожих по виду использования групп (подгрупп) объектов недвижимости по кадастровому кварталу (в </w:t>
      </w:r>
      <w:r>
        <w:rPr>
          <w:sz w:val="24"/>
          <w:lang w:eastAsia="en-US"/>
        </w:rPr>
        <w:t>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его площадь, объем, иные характеристики.</w:t>
      </w:r>
    </w:p>
    <w:p w:rsidR="00E85D42" w:rsidRDefault="008113B9">
      <w:pPr>
        <w:widowControl w:val="0"/>
        <w:autoSpaceDE w:val="0"/>
        <w:ind w:firstLine="568"/>
        <w:jc w:val="both"/>
        <w:rPr>
          <w:sz w:val="24"/>
          <w:lang w:eastAsia="en-US"/>
        </w:rPr>
      </w:pPr>
      <w:r>
        <w:rPr>
          <w:sz w:val="24"/>
          <w:lang w:eastAsia="en-US"/>
        </w:rPr>
        <w:t>В рамках данного метода средние значения УПКС м</w:t>
      </w:r>
      <w:r>
        <w:rPr>
          <w:sz w:val="24"/>
          <w:lang w:eastAsia="en-US"/>
        </w:rPr>
        <w:t>огут определяться с учетом известных характеристик объекта недвижимости (материал стен, этаж (этажность), вид разрешенного использования, местоположение и прочее);</w:t>
      </w:r>
    </w:p>
    <w:p w:rsidR="00E85D42" w:rsidRDefault="008113B9">
      <w:pPr>
        <w:keepNext/>
        <w:tabs>
          <w:tab w:val="left" w:pos="851"/>
        </w:tabs>
        <w:ind w:left="864"/>
        <w:jc w:val="both"/>
        <w:outlineLvl w:val="3"/>
        <w:rPr>
          <w:b/>
          <w:iCs/>
          <w:sz w:val="24"/>
        </w:rPr>
      </w:pPr>
      <w:bookmarkStart w:id="139" w:name="_Toc511658829"/>
      <w:bookmarkStart w:id="140" w:name="_Toc11934896"/>
      <w:r>
        <w:rPr>
          <w:b/>
          <w:iCs/>
          <w:sz w:val="24"/>
        </w:rPr>
        <w:t>3.4.2. Затратный подход</w:t>
      </w:r>
      <w:bookmarkEnd w:id="139"/>
      <w:bookmarkEnd w:id="140"/>
    </w:p>
    <w:p w:rsidR="00E85D42" w:rsidRDefault="008113B9">
      <w:pPr>
        <w:ind w:firstLine="567"/>
        <w:jc w:val="both"/>
        <w:rPr>
          <w:sz w:val="24"/>
        </w:rPr>
      </w:pPr>
      <w:r>
        <w:rPr>
          <w:sz w:val="24"/>
        </w:rPr>
        <w:t>Затратный подход основан на определении затрат, необходимых для прио</w:t>
      </w:r>
      <w:r>
        <w:rPr>
          <w:sz w:val="24"/>
        </w:rPr>
        <w:t>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E85D42" w:rsidRDefault="008113B9">
      <w:pPr>
        <w:ind w:firstLine="567"/>
        <w:jc w:val="both"/>
        <w:rPr>
          <w:sz w:val="24"/>
        </w:rPr>
      </w:pPr>
      <w:r>
        <w:rPr>
          <w:sz w:val="24"/>
        </w:rPr>
        <w:t>Затратный подход используется при определении кадастровой стоимости ОКС.</w:t>
      </w:r>
    </w:p>
    <w:p w:rsidR="00E85D42" w:rsidRDefault="008113B9">
      <w:pPr>
        <w:ind w:firstLine="567"/>
        <w:jc w:val="both"/>
        <w:rPr>
          <w:sz w:val="24"/>
        </w:rPr>
      </w:pPr>
      <w:r>
        <w:rPr>
          <w:sz w:val="24"/>
        </w:rPr>
        <w:t>Затратный подход н</w:t>
      </w:r>
      <w:r>
        <w:rPr>
          <w:sz w:val="24"/>
        </w:rPr>
        <w:t>е рекомендуется применять при оценке земельных участков, за исключением:</w:t>
      </w:r>
    </w:p>
    <w:p w:rsidR="00E85D42" w:rsidRDefault="008113B9">
      <w:pPr>
        <w:numPr>
          <w:ilvl w:val="0"/>
          <w:numId w:val="28"/>
        </w:numPr>
        <w:ind w:left="567"/>
        <w:jc w:val="both"/>
        <w:rPr>
          <w:sz w:val="24"/>
        </w:rPr>
      </w:pPr>
      <w:r>
        <w:rPr>
          <w:sz w:val="24"/>
        </w:rPr>
        <w:t>земельных участков, предназначенных для обеспечения обороны и безопасности;</w:t>
      </w:r>
    </w:p>
    <w:p w:rsidR="00E85D42" w:rsidRDefault="008113B9">
      <w:pPr>
        <w:numPr>
          <w:ilvl w:val="0"/>
          <w:numId w:val="28"/>
        </w:numPr>
        <w:ind w:left="567"/>
        <w:jc w:val="both"/>
        <w:rPr>
          <w:sz w:val="24"/>
        </w:rPr>
      </w:pPr>
      <w:r>
        <w:rPr>
          <w:sz w:val="24"/>
        </w:rPr>
        <w:t xml:space="preserve">земельных участков, предназначенных для размещения памятников (в том числе монументов, обелисков, памятных </w:t>
      </w:r>
      <w:r>
        <w:rPr>
          <w:sz w:val="24"/>
        </w:rPr>
        <w:t>знаков);</w:t>
      </w:r>
    </w:p>
    <w:p w:rsidR="00E85D42" w:rsidRDefault="008113B9">
      <w:pPr>
        <w:numPr>
          <w:ilvl w:val="0"/>
          <w:numId w:val="28"/>
        </w:numPr>
        <w:ind w:left="567"/>
        <w:jc w:val="both"/>
        <w:rPr>
          <w:sz w:val="24"/>
        </w:rPr>
      </w:pPr>
      <w:r>
        <w:rPr>
          <w:sz w:val="24"/>
        </w:rPr>
        <w:t>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E85D42" w:rsidRDefault="008113B9">
      <w:pPr>
        <w:ind w:firstLine="567"/>
        <w:jc w:val="both"/>
        <w:rPr>
          <w:sz w:val="24"/>
        </w:rPr>
      </w:pPr>
      <w:r>
        <w:rPr>
          <w:sz w:val="24"/>
        </w:rPr>
        <w:t>Затратный подход как совокупность методов оценки</w:t>
      </w:r>
      <w:r>
        <w:rPr>
          <w:sz w:val="24"/>
        </w:rPr>
        <w:t xml:space="preserve">, основанных на определении затрат, необходимых для восстановления либо замещения объекта оценки означает, что для оценки земельных участков – объектов не воспроизводимых – данный подход в чистом виде не применим. </w:t>
      </w:r>
    </w:p>
    <w:p w:rsidR="00E85D42" w:rsidRDefault="008113B9">
      <w:pPr>
        <w:ind w:firstLine="567"/>
        <w:jc w:val="both"/>
        <w:rPr>
          <w:sz w:val="24"/>
        </w:rPr>
      </w:pPr>
      <w:r>
        <w:rPr>
          <w:sz w:val="24"/>
        </w:rPr>
        <w:t>Однако Методическими указаниями предусмот</w:t>
      </w:r>
      <w:r>
        <w:rPr>
          <w:sz w:val="24"/>
        </w:rPr>
        <w:t>рен метод расчета земельных участков, получение дохода от которых невозможно (детские площадки, озеленение бульваров, парков, скверов) (п. 9.2.2.2.3. Методических указаний), исходя из затрат на межевание и оформление прав на них, за исключением случаев, ко</w:t>
      </w:r>
      <w:r>
        <w:rPr>
          <w:sz w:val="24"/>
        </w:rPr>
        <w:t>гда на территории этих участков возможна организация передвижной торговли. Данный метод можно условно считать приближенным затратному подходу при оценке земельных участков, поскольку он отражает минимальный уровень затрат, необходимый для формирования (соз</w:t>
      </w:r>
      <w:r>
        <w:rPr>
          <w:sz w:val="24"/>
        </w:rPr>
        <w:t>дания, выделения) земельного участка и оформления прав на него.</w:t>
      </w:r>
    </w:p>
    <w:p w:rsidR="00E85D42" w:rsidRDefault="008113B9">
      <w:pPr>
        <w:ind w:firstLine="567"/>
        <w:jc w:val="both"/>
        <w:rPr>
          <w:sz w:val="24"/>
        </w:rPr>
      </w:pPr>
      <w:r>
        <w:rPr>
          <w:sz w:val="24"/>
        </w:rPr>
        <w:t>Кроме того, Методическими указаниями предусмотрена, так называемая проверка полученных результатов кадастровой стоимости (п.1.16 Методических указаний). Так, минимально возможный уровень кадас</w:t>
      </w:r>
      <w:r>
        <w:rPr>
          <w:sz w:val="24"/>
        </w:rPr>
        <w:t>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p w:rsidR="00E85D42" w:rsidRDefault="008113B9">
      <w:pPr>
        <w:keepNext/>
        <w:tabs>
          <w:tab w:val="left" w:pos="851"/>
        </w:tabs>
        <w:ind w:left="864"/>
        <w:jc w:val="both"/>
        <w:outlineLvl w:val="3"/>
        <w:rPr>
          <w:b/>
          <w:iCs/>
          <w:sz w:val="24"/>
        </w:rPr>
      </w:pPr>
      <w:bookmarkStart w:id="141" w:name="_Toc511658830"/>
      <w:bookmarkStart w:id="142" w:name="_Toc11934897"/>
      <w:r>
        <w:rPr>
          <w:b/>
          <w:iCs/>
          <w:sz w:val="24"/>
        </w:rPr>
        <w:t>3.4.3. Доходный подход</w:t>
      </w:r>
      <w:bookmarkEnd w:id="141"/>
      <w:bookmarkEnd w:id="142"/>
    </w:p>
    <w:p w:rsidR="00E85D42" w:rsidRDefault="008113B9">
      <w:pPr>
        <w:ind w:firstLine="567"/>
        <w:jc w:val="both"/>
        <w:rPr>
          <w:sz w:val="24"/>
        </w:rPr>
      </w:pPr>
      <w:r>
        <w:rPr>
          <w:sz w:val="24"/>
        </w:rPr>
        <w:t>Доходный подход основан на определении</w:t>
      </w:r>
      <w:r>
        <w:rPr>
          <w:sz w:val="24"/>
        </w:rPr>
        <w:t xml:space="preserve">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E85D42" w:rsidRDefault="008113B9">
      <w:pPr>
        <w:ind w:firstLine="567"/>
        <w:jc w:val="both"/>
        <w:rPr>
          <w:sz w:val="24"/>
        </w:rPr>
      </w:pPr>
      <w:r>
        <w:rPr>
          <w:sz w:val="24"/>
        </w:rPr>
        <w:t>Использование доходн</w:t>
      </w:r>
      <w:r>
        <w:rPr>
          <w:sz w:val="24"/>
        </w:rPr>
        <w:t>ого подхода возможно,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w:t>
      </w:r>
      <w:r>
        <w:rPr>
          <w:sz w:val="24"/>
        </w:rPr>
        <w:t>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w:t>
      </w:r>
      <w:r>
        <w:rPr>
          <w:sz w:val="24"/>
        </w:rPr>
        <w:t>ран один принцип расчета и, соответственно, группировки, а для другого - второй.</w:t>
      </w:r>
    </w:p>
    <w:p w:rsidR="00E85D42" w:rsidRDefault="008113B9">
      <w:pPr>
        <w:ind w:firstLine="567"/>
        <w:jc w:val="both"/>
        <w:rPr>
          <w:sz w:val="24"/>
        </w:rPr>
      </w:pPr>
      <w:r>
        <w:rPr>
          <w:sz w:val="24"/>
        </w:rPr>
        <w:t>В рамках доходного подхода кадастровая стоимость объекта недвижимости может определяться:</w:t>
      </w:r>
    </w:p>
    <w:p w:rsidR="00E85D42" w:rsidRDefault="008113B9">
      <w:pPr>
        <w:numPr>
          <w:ilvl w:val="0"/>
          <w:numId w:val="29"/>
        </w:numPr>
        <w:tabs>
          <w:tab w:val="left" w:pos="1581"/>
        </w:tabs>
        <w:ind w:left="993"/>
        <w:jc w:val="both"/>
        <w:rPr>
          <w:sz w:val="24"/>
        </w:rPr>
      </w:pPr>
      <w:r>
        <w:rPr>
          <w:sz w:val="24"/>
        </w:rPr>
        <w:t>Методом прямой капитализации.</w:t>
      </w:r>
    </w:p>
    <w:p w:rsidR="00E85D42" w:rsidRDefault="008113B9">
      <w:pPr>
        <w:numPr>
          <w:ilvl w:val="0"/>
          <w:numId w:val="29"/>
        </w:numPr>
        <w:tabs>
          <w:tab w:val="left" w:pos="1581"/>
        </w:tabs>
        <w:ind w:left="993"/>
        <w:jc w:val="both"/>
        <w:rPr>
          <w:sz w:val="24"/>
        </w:rPr>
      </w:pPr>
      <w:r>
        <w:rPr>
          <w:sz w:val="24"/>
        </w:rPr>
        <w:t>Методом дисконтирования денежных потоков.</w:t>
      </w:r>
    </w:p>
    <w:p w:rsidR="00E85D42" w:rsidRDefault="008113B9">
      <w:pPr>
        <w:ind w:firstLine="567"/>
        <w:jc w:val="both"/>
        <w:rPr>
          <w:sz w:val="24"/>
        </w:rPr>
      </w:pPr>
      <w:r>
        <w:rPr>
          <w:sz w:val="24"/>
        </w:rPr>
        <w:t>Объекты недви</w:t>
      </w:r>
      <w:r>
        <w:rPr>
          <w:sz w:val="24"/>
        </w:rPr>
        <w:t>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E85D42" w:rsidRDefault="008113B9">
      <w:pPr>
        <w:ind w:firstLine="567"/>
        <w:jc w:val="both"/>
        <w:rPr>
          <w:sz w:val="24"/>
        </w:rPr>
      </w:pPr>
      <w:r>
        <w:rPr>
          <w:sz w:val="24"/>
        </w:rPr>
        <w:t>Реализация техник д</w:t>
      </w:r>
      <w:r>
        <w:rPr>
          <w:sz w:val="24"/>
        </w:rPr>
        <w:t>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При этом не учитываются налог на прибыль организаций и налог на доходы физических лиц.</w:t>
      </w:r>
    </w:p>
    <w:p w:rsidR="00E85D42" w:rsidRDefault="008113B9">
      <w:pPr>
        <w:ind w:firstLine="568"/>
        <w:jc w:val="both"/>
        <w:rPr>
          <w:sz w:val="24"/>
        </w:rPr>
      </w:pPr>
      <w:r>
        <w:rPr>
          <w:sz w:val="24"/>
        </w:rPr>
        <w:t xml:space="preserve">Проанализировав </w:t>
      </w:r>
      <w:r>
        <w:rPr>
          <w:sz w:val="24"/>
        </w:rPr>
        <w:t>данные рынка, информацию об оцениваемых земельных участках, принято решение о возможности использования сравнительного, затратного подходов к оценке.</w:t>
      </w:r>
    </w:p>
    <w:p w:rsidR="00E85D42" w:rsidRDefault="00E85D42">
      <w:pPr>
        <w:ind w:firstLine="568"/>
        <w:jc w:val="both"/>
        <w:rPr>
          <w:sz w:val="24"/>
        </w:rPr>
      </w:pPr>
    </w:p>
    <w:p w:rsidR="00E85D42" w:rsidRDefault="008113B9">
      <w:pPr>
        <w:keepNext/>
        <w:tabs>
          <w:tab w:val="left" w:pos="1260"/>
        </w:tabs>
        <w:ind w:firstLine="576"/>
        <w:jc w:val="both"/>
        <w:outlineLvl w:val="1"/>
        <w:rPr>
          <w:b/>
          <w:sz w:val="24"/>
        </w:rPr>
      </w:pPr>
      <w:bookmarkStart w:id="143" w:name="_Toc11934898"/>
      <w:r>
        <w:rPr>
          <w:b/>
          <w:sz w:val="24"/>
        </w:rPr>
        <w:t>3.5. Информация об определении кадастровой стоимости индивидуально в отношении объектов недвижимости.</w:t>
      </w:r>
      <w:bookmarkEnd w:id="143"/>
      <w:r>
        <w:rPr>
          <w:b/>
          <w:sz w:val="24"/>
        </w:rPr>
        <w:t xml:space="preserve"> </w:t>
      </w:r>
    </w:p>
    <w:p w:rsidR="00E85D42" w:rsidRDefault="008113B9">
      <w:pPr>
        <w:ind w:firstLine="567"/>
        <w:jc w:val="both"/>
        <w:rPr>
          <w:sz w:val="24"/>
        </w:rPr>
      </w:pPr>
      <w:r>
        <w:rPr>
          <w:sz w:val="24"/>
        </w:rPr>
        <w:t>Ин</w:t>
      </w:r>
      <w:r>
        <w:rPr>
          <w:sz w:val="24"/>
        </w:rPr>
        <w:t>дивидуальный расчет кадастровой стоимости производится, в соответствии с п. 8.1. Методических указаний в следующих случаях:</w:t>
      </w:r>
    </w:p>
    <w:p w:rsidR="00E85D42" w:rsidRDefault="008113B9">
      <w:pPr>
        <w:autoSpaceDE w:val="0"/>
        <w:ind w:firstLine="540"/>
        <w:jc w:val="both"/>
        <w:rPr>
          <w:sz w:val="24"/>
          <w:lang w:eastAsia="en-US"/>
        </w:rPr>
      </w:pPr>
      <w:r>
        <w:rPr>
          <w:sz w:val="24"/>
          <w:lang w:eastAsia="en-US"/>
        </w:rPr>
        <w:t>1) требуется определение стоимости эталонного (типового) объекта с заданными характеристиками, относительно которого будут моделиров</w:t>
      </w:r>
      <w:r>
        <w:rPr>
          <w:sz w:val="24"/>
          <w:lang w:eastAsia="en-US"/>
        </w:rPr>
        <w:t>аться стоимости объектов недвижимости;</w:t>
      </w:r>
    </w:p>
    <w:p w:rsidR="00E85D42" w:rsidRDefault="008113B9">
      <w:pPr>
        <w:autoSpaceDE w:val="0"/>
        <w:spacing w:before="200"/>
        <w:ind w:firstLine="540"/>
        <w:jc w:val="both"/>
        <w:rPr>
          <w:sz w:val="24"/>
          <w:lang w:eastAsia="en-US"/>
        </w:rPr>
      </w:pPr>
      <w:r>
        <w:rPr>
          <w:sz w:val="24"/>
          <w:lang w:eastAsia="en-US"/>
        </w:rPr>
        <w:t xml:space="preserve">2)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w:t>
      </w:r>
      <w:r>
        <w:rPr>
          <w:sz w:val="24"/>
          <w:lang w:eastAsia="en-US"/>
        </w:rPr>
        <w:t>фактического использования объекта недвижимости;</w:t>
      </w:r>
    </w:p>
    <w:p w:rsidR="00E85D42" w:rsidRDefault="008113B9">
      <w:pPr>
        <w:autoSpaceDE w:val="0"/>
        <w:spacing w:before="200"/>
        <w:ind w:firstLine="540"/>
        <w:jc w:val="both"/>
        <w:rPr>
          <w:sz w:val="24"/>
          <w:lang w:eastAsia="en-US"/>
        </w:rPr>
      </w:pPr>
      <w:r>
        <w:rPr>
          <w:sz w:val="24"/>
          <w:lang w:eastAsia="en-US"/>
        </w:rPr>
        <w:t>3)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E85D42" w:rsidRDefault="008113B9">
      <w:pPr>
        <w:autoSpaceDE w:val="0"/>
        <w:spacing w:before="200"/>
        <w:ind w:firstLine="540"/>
        <w:jc w:val="both"/>
        <w:rPr>
          <w:sz w:val="24"/>
          <w:lang w:eastAsia="en-US"/>
        </w:rPr>
      </w:pPr>
      <w:r>
        <w:rPr>
          <w:sz w:val="24"/>
          <w:lang w:eastAsia="en-US"/>
        </w:rPr>
        <w:t xml:space="preserve">4) </w:t>
      </w:r>
      <w:r>
        <w:rPr>
          <w:sz w:val="24"/>
          <w:lang w:eastAsia="en-US"/>
        </w:rPr>
        <w:t>определение кадастровой стоимости особо сложных объектов недвижимости, обладающих уникальными характеристиками.</w:t>
      </w:r>
    </w:p>
    <w:p w:rsidR="00E85D42" w:rsidRDefault="008113B9">
      <w:pPr>
        <w:ind w:firstLine="540"/>
        <w:jc w:val="both"/>
        <w:rPr>
          <w:sz w:val="24"/>
        </w:rPr>
      </w:pPr>
      <w:r>
        <w:rPr>
          <w:sz w:val="24"/>
        </w:rPr>
        <w:t>Индивидуальный расчет осуществляется исходя из вида фактического разрешенного использования оцениваемого объекта.</w:t>
      </w:r>
    </w:p>
    <w:p w:rsidR="00E85D42" w:rsidRDefault="00E85D42">
      <w:pPr>
        <w:ind w:firstLine="568"/>
        <w:jc w:val="both"/>
        <w:rPr>
          <w:sz w:val="24"/>
        </w:rPr>
      </w:pPr>
    </w:p>
    <w:p w:rsidR="00E85D42" w:rsidRDefault="008113B9">
      <w:pPr>
        <w:widowControl w:val="0"/>
        <w:autoSpaceDE w:val="0"/>
        <w:ind w:firstLine="540"/>
        <w:jc w:val="both"/>
        <w:rPr>
          <w:b/>
          <w:sz w:val="24"/>
          <w:szCs w:val="24"/>
        </w:rPr>
      </w:pPr>
      <w:r>
        <w:rPr>
          <w:b/>
          <w:sz w:val="24"/>
          <w:szCs w:val="24"/>
        </w:rPr>
        <w:t xml:space="preserve">1) </w:t>
      </w:r>
      <w:bookmarkStart w:id="144" w:name="OLE_LINK16"/>
      <w:r>
        <w:rPr>
          <w:b/>
          <w:sz w:val="24"/>
          <w:szCs w:val="24"/>
        </w:rPr>
        <w:t>сегмента «Производственная</w:t>
      </w:r>
      <w:r>
        <w:rPr>
          <w:b/>
          <w:sz w:val="24"/>
          <w:szCs w:val="24"/>
        </w:rPr>
        <w:t xml:space="preserve"> деятельность» с кодами расчета видов использования: 01:182; 03:012; 03:093; 05:040; 06:010; 06:011; 06:012; 06:013; 06:014; 06:070; 06:071; 06:072; 06:073; 06:091; 06:093; 06:100; 07:011; 07:014; 07:031; 07:032; 07:040; 07:041; 07:051; 08:013; 08:031; 11:</w:t>
      </w:r>
      <w:r>
        <w:rPr>
          <w:b/>
          <w:sz w:val="24"/>
          <w:szCs w:val="24"/>
        </w:rPr>
        <w:t>030</w:t>
      </w:r>
      <w:bookmarkEnd w:id="144"/>
      <w:r>
        <w:rPr>
          <w:b/>
          <w:sz w:val="24"/>
          <w:szCs w:val="24"/>
        </w:rPr>
        <w:t>;</w:t>
      </w:r>
    </w:p>
    <w:p w:rsidR="00E85D42" w:rsidRDefault="008113B9">
      <w:pPr>
        <w:widowControl w:val="0"/>
        <w:autoSpaceDE w:val="0"/>
        <w:ind w:firstLine="540"/>
        <w:jc w:val="both"/>
      </w:pPr>
      <w:r>
        <w:rPr>
          <w:b/>
          <w:sz w:val="24"/>
          <w:szCs w:val="24"/>
        </w:rPr>
        <w:t xml:space="preserve">2) </w:t>
      </w:r>
      <w:bookmarkStart w:id="145" w:name="Индивидуальный"/>
      <w:r>
        <w:rPr>
          <w:b/>
          <w:sz w:val="24"/>
          <w:szCs w:val="24"/>
        </w:rPr>
        <w:t>сегмента «</w:t>
      </w:r>
      <w:r>
        <w:rPr>
          <w:b/>
          <w:sz w:val="24"/>
          <w:szCs w:val="24"/>
        </w:rPr>
        <w:t>Специальное, ритуальное использование, запас» с кодом расчета вида использования: 12:020, 12:021.</w:t>
      </w:r>
      <w:bookmarkEnd w:id="145"/>
    </w:p>
    <w:p w:rsidR="00E85D42" w:rsidRDefault="008113B9">
      <w:pPr>
        <w:ind w:firstLine="567"/>
        <w:jc w:val="both"/>
      </w:pPr>
      <w:r>
        <w:rPr>
          <w:rFonts w:eastAsia="Calibri"/>
          <w:sz w:val="24"/>
          <w:szCs w:val="24"/>
          <w:lang w:eastAsia="en-US"/>
        </w:rPr>
        <w:t>При определении кадастровой стоимости</w:t>
      </w:r>
      <w:r>
        <w:rPr>
          <w:sz w:val="24"/>
          <w:szCs w:val="24"/>
        </w:rPr>
        <w:t xml:space="preserve"> земельных участков вышеуказанных видов разрешенного использования применялся</w:t>
      </w:r>
      <w:r>
        <w:rPr>
          <w:rFonts w:eastAsia="Calibri"/>
          <w:sz w:val="24"/>
          <w:szCs w:val="24"/>
          <w:lang w:eastAsia="en-US"/>
        </w:rPr>
        <w:t xml:space="preserve"> сравнительный подход мето</w:t>
      </w:r>
      <w:r>
        <w:rPr>
          <w:rFonts w:eastAsia="Calibri"/>
          <w:sz w:val="24"/>
          <w:szCs w:val="24"/>
          <w:lang w:eastAsia="en-US"/>
        </w:rPr>
        <w:t>д сравнения продаж с использованием информации по объектам - аналогам на дату оценки.</w:t>
      </w:r>
    </w:p>
    <w:p w:rsidR="00E85D42" w:rsidRDefault="008113B9">
      <w:pPr>
        <w:ind w:firstLine="567"/>
        <w:jc w:val="both"/>
        <w:rPr>
          <w:sz w:val="24"/>
          <w:szCs w:val="24"/>
        </w:rPr>
      </w:pPr>
      <w:r>
        <w:rPr>
          <w:sz w:val="24"/>
          <w:szCs w:val="24"/>
        </w:rPr>
        <w:t>Последовательность применения метода сравнения продаж.</w:t>
      </w:r>
    </w:p>
    <w:p w:rsidR="00E85D42" w:rsidRDefault="008113B9">
      <w:pPr>
        <w:ind w:firstLine="567"/>
        <w:jc w:val="both"/>
        <w:rPr>
          <w:sz w:val="24"/>
          <w:szCs w:val="24"/>
        </w:rPr>
      </w:pPr>
      <w:r>
        <w:rPr>
          <w:sz w:val="24"/>
          <w:szCs w:val="24"/>
        </w:rPr>
        <w:t>Изучение рынка и предложений о продаже объектов недвижимости, которые наиболее сопоставимы с оцениваемым объектом п</w:t>
      </w:r>
      <w:r>
        <w:rPr>
          <w:sz w:val="24"/>
          <w:szCs w:val="24"/>
        </w:rPr>
        <w:t>о основным ценообразующим факторам.</w:t>
      </w:r>
    </w:p>
    <w:p w:rsidR="00E85D42" w:rsidRDefault="008113B9">
      <w:pPr>
        <w:ind w:firstLine="567"/>
        <w:jc w:val="both"/>
        <w:rPr>
          <w:sz w:val="24"/>
          <w:szCs w:val="24"/>
        </w:rPr>
      </w:pPr>
      <w:r>
        <w:rPr>
          <w:sz w:val="24"/>
          <w:szCs w:val="24"/>
        </w:rPr>
        <w:t>Сбор и проверка информации по каждому предлагаемому к продаже объекту недвижимости (о цене предложения, дате выставления объектов-аналогов на продажу, физических характеристиках, местоположении объектов и др.).</w:t>
      </w:r>
    </w:p>
    <w:p w:rsidR="00E85D42" w:rsidRDefault="008113B9">
      <w:pPr>
        <w:ind w:firstLine="567"/>
        <w:jc w:val="both"/>
        <w:rPr>
          <w:sz w:val="24"/>
          <w:szCs w:val="24"/>
        </w:rPr>
      </w:pPr>
      <w:r>
        <w:rPr>
          <w:sz w:val="24"/>
          <w:szCs w:val="24"/>
        </w:rPr>
        <w:t>Сравнение</w:t>
      </w:r>
      <w:r>
        <w:rPr>
          <w:sz w:val="24"/>
          <w:szCs w:val="24"/>
        </w:rPr>
        <w:t xml:space="preserve"> каждого объекта-аналога с оцениваемым объектом недвижимости по ценообразующим факторам (местоположению, физическим характеристикам, условиям продажи и др.).</w:t>
      </w:r>
    </w:p>
    <w:p w:rsidR="00E85D42" w:rsidRDefault="008113B9">
      <w:pPr>
        <w:ind w:firstLine="567"/>
        <w:jc w:val="both"/>
        <w:rPr>
          <w:sz w:val="24"/>
          <w:szCs w:val="24"/>
        </w:rPr>
      </w:pPr>
      <w:r>
        <w:rPr>
          <w:sz w:val="24"/>
          <w:szCs w:val="24"/>
        </w:rPr>
        <w:t>Корректировки цен по каждому сопоставимому объекту в соответствии с имеющимися различиями между ни</w:t>
      </w:r>
      <w:r>
        <w:rPr>
          <w:sz w:val="24"/>
          <w:szCs w:val="24"/>
        </w:rPr>
        <w:t>ми и оцениваемым объектом в последовательности:</w:t>
      </w:r>
    </w:p>
    <w:p w:rsidR="00E85D42" w:rsidRDefault="008113B9">
      <w:pPr>
        <w:numPr>
          <w:ilvl w:val="0"/>
          <w:numId w:val="30"/>
        </w:numPr>
        <w:ind w:firstLine="0"/>
        <w:jc w:val="both"/>
        <w:rPr>
          <w:rFonts w:eastAsia="Calibri"/>
          <w:sz w:val="24"/>
          <w:szCs w:val="24"/>
          <w:lang w:eastAsia="en-US"/>
        </w:rPr>
      </w:pPr>
      <w:r>
        <w:rPr>
          <w:rFonts w:eastAsia="Calibri"/>
          <w:sz w:val="24"/>
          <w:szCs w:val="24"/>
          <w:lang w:eastAsia="en-US"/>
        </w:rPr>
        <w:t>Корректировка на снижение цены в процессе торгов;</w:t>
      </w:r>
    </w:p>
    <w:p w:rsidR="00E85D42" w:rsidRDefault="008113B9">
      <w:pPr>
        <w:numPr>
          <w:ilvl w:val="0"/>
          <w:numId w:val="30"/>
        </w:numPr>
        <w:ind w:firstLine="0"/>
        <w:jc w:val="both"/>
        <w:rPr>
          <w:rFonts w:eastAsia="Calibri"/>
          <w:sz w:val="24"/>
          <w:szCs w:val="24"/>
          <w:lang w:eastAsia="en-US"/>
        </w:rPr>
      </w:pPr>
      <w:r>
        <w:rPr>
          <w:rFonts w:eastAsia="Calibri"/>
          <w:sz w:val="24"/>
          <w:szCs w:val="24"/>
          <w:lang w:eastAsia="en-US"/>
        </w:rPr>
        <w:t>Переданные права собственности на недвижимость (земельный участок);</w:t>
      </w:r>
    </w:p>
    <w:p w:rsidR="00E85D42" w:rsidRDefault="008113B9">
      <w:pPr>
        <w:numPr>
          <w:ilvl w:val="0"/>
          <w:numId w:val="30"/>
        </w:numPr>
        <w:ind w:firstLine="0"/>
        <w:jc w:val="both"/>
      </w:pPr>
      <w:r>
        <w:rPr>
          <w:rFonts w:eastAsia="Calibri"/>
          <w:sz w:val="24"/>
          <w:szCs w:val="24"/>
          <w:lang w:eastAsia="en-US"/>
        </w:rPr>
        <w:t>Местоположение участка;</w:t>
      </w:r>
    </w:p>
    <w:p w:rsidR="00E85D42" w:rsidRDefault="008113B9">
      <w:pPr>
        <w:numPr>
          <w:ilvl w:val="0"/>
          <w:numId w:val="30"/>
        </w:numPr>
        <w:ind w:firstLine="0"/>
        <w:jc w:val="both"/>
      </w:pPr>
      <w:r>
        <w:rPr>
          <w:rFonts w:eastAsia="Calibri"/>
          <w:sz w:val="24"/>
          <w:szCs w:val="24"/>
          <w:lang w:eastAsia="en-US"/>
        </w:rPr>
        <w:t>Площадь участка</w:t>
      </w:r>
    </w:p>
    <w:p w:rsidR="00E85D42" w:rsidRDefault="008113B9">
      <w:pPr>
        <w:ind w:firstLine="567"/>
        <w:jc w:val="both"/>
      </w:pPr>
      <w:r>
        <w:rPr>
          <w:rFonts w:eastAsia="Calibri"/>
          <w:sz w:val="24"/>
          <w:szCs w:val="24"/>
          <w:lang w:eastAsia="en-US"/>
        </w:rPr>
        <w:t>Поправки определялись в соответствии со Справочник</w:t>
      </w:r>
      <w:r>
        <w:rPr>
          <w:rFonts w:eastAsia="Calibri"/>
          <w:sz w:val="24"/>
          <w:szCs w:val="24"/>
          <w:lang w:eastAsia="en-US"/>
        </w:rPr>
        <w:t>ом оценщика недвижимости, часть 1 и часть 2 «Земельные участки» под ред. Лейфера Л.А., Крайникова Т.В. 2018 г., и Методическими указаниями о государственной кадастровой оценке, утвержденными приказом Минэкономразвития России от 12.05.2017г. № 226.</w:t>
      </w:r>
    </w:p>
    <w:p w:rsidR="00E85D42" w:rsidRDefault="008113B9">
      <w:pPr>
        <w:ind w:firstLine="567"/>
        <w:jc w:val="both"/>
        <w:rPr>
          <w:sz w:val="24"/>
          <w:szCs w:val="24"/>
        </w:rPr>
      </w:pPr>
      <w:r>
        <w:rPr>
          <w:sz w:val="24"/>
          <w:szCs w:val="24"/>
        </w:rPr>
        <w:t>Согласов</w:t>
      </w:r>
      <w:r>
        <w:rPr>
          <w:sz w:val="24"/>
          <w:szCs w:val="24"/>
        </w:rPr>
        <w:t>ание скорректированных цен аналогов и определение стоимости оцениваемого объекта.</w:t>
      </w:r>
    </w:p>
    <w:p w:rsidR="00E85D42" w:rsidRDefault="008113B9">
      <w:pPr>
        <w:autoSpaceDE w:val="0"/>
        <w:ind w:firstLine="567"/>
        <w:jc w:val="both"/>
        <w:rPr>
          <w:rFonts w:eastAsia="Calibri"/>
          <w:sz w:val="24"/>
          <w:szCs w:val="24"/>
          <w:lang w:eastAsia="en-US"/>
        </w:rPr>
      </w:pPr>
      <w:r>
        <w:rPr>
          <w:rFonts w:eastAsia="Calibri"/>
          <w:sz w:val="24"/>
          <w:szCs w:val="24"/>
          <w:lang w:eastAsia="en-US"/>
        </w:rPr>
        <w:t>Результаты определения кадастровой стоимости земельных участков приводятся в Приложении 3 - Индивидуальный расчет.</w:t>
      </w:r>
    </w:p>
    <w:p w:rsidR="00E85D42" w:rsidRDefault="008113B9">
      <w:pPr>
        <w:autoSpaceDE w:val="0"/>
        <w:ind w:firstLine="567"/>
        <w:jc w:val="both"/>
      </w:pPr>
      <w:r>
        <w:rPr>
          <w:sz w:val="24"/>
          <w:szCs w:val="24"/>
        </w:rPr>
        <w:t>В соответствии с п. 9.2.2.5.3.5. Методических указаний, утв</w:t>
      </w:r>
      <w:r>
        <w:rPr>
          <w:sz w:val="24"/>
          <w:szCs w:val="24"/>
        </w:rPr>
        <w:t>ержденных приказом министерства экономического развития Российской Федерации от 12.05.2017 № 226, в случае превышения УПКС земельных участков с кодами расчета видов использования: 01:182; 03:012; 03:093; 06:091; 06:093; 07:041; 07:051, над средними УПКС зе</w:t>
      </w:r>
      <w:r>
        <w:rPr>
          <w:sz w:val="24"/>
          <w:szCs w:val="24"/>
        </w:rPr>
        <w:t xml:space="preserve">мельных участков, указанных в </w:t>
      </w:r>
      <w:hyperlink r:id="rId333" w:history="1">
        <w:r>
          <w:rPr>
            <w:sz w:val="24"/>
            <w:szCs w:val="24"/>
          </w:rPr>
          <w:t>подпункте 9.2.2.5.3.2</w:t>
        </w:r>
      </w:hyperlink>
      <w:r>
        <w:rPr>
          <w:sz w:val="24"/>
          <w:szCs w:val="24"/>
        </w:rPr>
        <w:t xml:space="preserve"> Указаний, находящихся в пределах территории того же муниципального образования, УПКС земельного участка устанавливается равным среднему значению УПКС земельных участков, указанных в</w:t>
      </w:r>
      <w:r>
        <w:rPr>
          <w:sz w:val="24"/>
          <w:szCs w:val="24"/>
        </w:rPr>
        <w:t xml:space="preserve"> </w:t>
      </w:r>
      <w:hyperlink r:id="rId334" w:history="1">
        <w:r>
          <w:rPr>
            <w:sz w:val="24"/>
            <w:szCs w:val="24"/>
          </w:rPr>
          <w:t>подпункте 9.2.2.5.3.2</w:t>
        </w:r>
      </w:hyperlink>
      <w:r>
        <w:rPr>
          <w:sz w:val="24"/>
          <w:szCs w:val="24"/>
        </w:rPr>
        <w:t xml:space="preserve"> Указаний. Результаты средних значений УПКС ЗУ п.9.2.2.5.3.2 приводятся в                 Приложение 2 </w:t>
      </w:r>
      <w:r>
        <w:rPr>
          <w:rFonts w:eastAsia="Calibri"/>
          <w:sz w:val="24"/>
          <w:szCs w:val="24"/>
          <w:lang w:eastAsia="en-US"/>
        </w:rPr>
        <w:t>– Расчет по УПКС</w:t>
      </w:r>
      <w:r>
        <w:rPr>
          <w:sz w:val="24"/>
          <w:szCs w:val="24"/>
        </w:rPr>
        <w:t>.</w:t>
      </w:r>
    </w:p>
    <w:p w:rsidR="00E85D42" w:rsidRDefault="00E85D42">
      <w:pPr>
        <w:autoSpaceDE w:val="0"/>
        <w:ind w:firstLine="567"/>
        <w:jc w:val="both"/>
        <w:rPr>
          <w:rFonts w:eastAsia="Calibri"/>
          <w:sz w:val="24"/>
          <w:szCs w:val="24"/>
          <w:lang w:eastAsia="en-US"/>
        </w:rPr>
      </w:pPr>
    </w:p>
    <w:p w:rsidR="00E85D42" w:rsidRDefault="008113B9">
      <w:pPr>
        <w:autoSpaceDE w:val="0"/>
        <w:ind w:firstLine="567"/>
        <w:jc w:val="both"/>
      </w:pPr>
      <w:bookmarkStart w:id="146" w:name="Эталонный"/>
      <w:r>
        <w:rPr>
          <w:rFonts w:eastAsia="Calibri"/>
          <w:sz w:val="24"/>
          <w:szCs w:val="24"/>
          <w:lang w:eastAsia="en-US"/>
        </w:rPr>
        <w:t>Р</w:t>
      </w:r>
      <w:r>
        <w:rPr>
          <w:rFonts w:eastAsia="Calibri"/>
          <w:b/>
          <w:sz w:val="24"/>
          <w:szCs w:val="24"/>
          <w:lang w:eastAsia="en-US"/>
        </w:rPr>
        <w:t xml:space="preserve">асчет рыночной стоимости типовых (эталонных) земельных участков для определения </w:t>
      </w:r>
      <w:r>
        <w:rPr>
          <w:rFonts w:eastAsia="Calibri"/>
          <w:b/>
          <w:sz w:val="24"/>
          <w:szCs w:val="24"/>
          <w:lang w:eastAsia="en-US"/>
        </w:rPr>
        <w:t xml:space="preserve">кадастровой стоимости земельных участков с кодами вида 04:095; 04:098; 04:099 </w:t>
      </w:r>
      <w:bookmarkEnd w:id="146"/>
      <w:r>
        <w:rPr>
          <w:rFonts w:eastAsia="Calibri"/>
          <w:sz w:val="24"/>
          <w:szCs w:val="24"/>
          <w:lang w:eastAsia="en-US"/>
        </w:rPr>
        <w:t>произведен в соответствии с требованиями главы VIII Указаний.</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При оценке рыночной стоимости объекта недвижимости используются подходы, изложенные в главе 7 Указаний:</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сравнитель</w:t>
      </w:r>
      <w:r>
        <w:rPr>
          <w:rFonts w:ascii="Times New Roman" w:hAnsi="Times New Roman"/>
          <w:sz w:val="24"/>
          <w:szCs w:val="24"/>
        </w:rPr>
        <w:t>ный подход;</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доходный подход;</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затратный подход.</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Подход к оценке предоставляет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w:t>
      </w:r>
      <w:r>
        <w:rPr>
          <w:rFonts w:ascii="Times New Roman" w:hAnsi="Times New Roman"/>
          <w:sz w:val="24"/>
          <w:szCs w:val="24"/>
        </w:rPr>
        <w:t>информации определить стоимость объекта оценки в рамках одного из подходов к оценке.</w:t>
      </w:r>
    </w:p>
    <w:p w:rsidR="00E85D42" w:rsidRDefault="008113B9">
      <w:pPr>
        <w:pStyle w:val="affffc"/>
        <w:ind w:firstLine="709"/>
        <w:jc w:val="both"/>
        <w:rPr>
          <w:rFonts w:ascii="Times New Roman" w:hAnsi="Times New Roman"/>
          <w:sz w:val="24"/>
          <w:szCs w:val="24"/>
          <w:u w:val="single"/>
        </w:rPr>
      </w:pPr>
      <w:r>
        <w:rPr>
          <w:rFonts w:ascii="Times New Roman" w:hAnsi="Times New Roman"/>
          <w:sz w:val="24"/>
          <w:szCs w:val="24"/>
          <w:u w:val="single"/>
        </w:rPr>
        <w:t>Методы, применяемые в рамках сравнительного подхода:</w:t>
      </w:r>
    </w:p>
    <w:p w:rsidR="00E85D42" w:rsidRDefault="008113B9">
      <w:pPr>
        <w:pStyle w:val="affffc"/>
        <w:ind w:firstLine="709"/>
        <w:jc w:val="both"/>
      </w:pPr>
      <w:r>
        <w:rPr>
          <w:rFonts w:ascii="Times New Roman" w:hAnsi="Times New Roman"/>
          <w:sz w:val="24"/>
          <w:szCs w:val="24"/>
          <w:u w:val="single"/>
        </w:rPr>
        <w:t>Метод сравнения продаж</w:t>
      </w:r>
      <w:r>
        <w:rPr>
          <w:rFonts w:ascii="Times New Roman" w:hAnsi="Times New Roman"/>
          <w:sz w:val="24"/>
          <w:szCs w:val="24"/>
        </w:rPr>
        <w:t xml:space="preserve"> применяется для оценки земельных участков, как занятых зданиями, строениями и (или) сооружениям</w:t>
      </w:r>
      <w:r>
        <w:rPr>
          <w:rFonts w:ascii="Times New Roman" w:hAnsi="Times New Roman"/>
          <w:sz w:val="24"/>
          <w:szCs w:val="24"/>
        </w:rPr>
        <w:t>и (далее - застроенных земельных участков), так и земельных участков, не занятых зданиями, строениями и (или) сооружениями (далее - незастроенных земельных участков). Условие применения метода - наличие информации о ценах сделок с земельными участками, явл</w:t>
      </w:r>
      <w:r>
        <w:rPr>
          <w:rFonts w:ascii="Times New Roman" w:hAnsi="Times New Roman"/>
          <w:sz w:val="24"/>
          <w:szCs w:val="24"/>
        </w:rPr>
        <w:t>яющимися аналогами оцениваемого. При отсутствии информации о ценах сделок с земельными участками допускается использование цен предложения (спроса).</w:t>
      </w:r>
    </w:p>
    <w:p w:rsidR="00E85D42" w:rsidRDefault="008113B9">
      <w:pPr>
        <w:pStyle w:val="affffc"/>
        <w:ind w:firstLine="709"/>
        <w:jc w:val="both"/>
      </w:pPr>
      <w:r>
        <w:rPr>
          <w:rFonts w:ascii="Times New Roman" w:hAnsi="Times New Roman"/>
          <w:sz w:val="24"/>
          <w:szCs w:val="24"/>
          <w:u w:val="single"/>
        </w:rPr>
        <w:t>Метод выделения</w:t>
      </w:r>
      <w:r>
        <w:rPr>
          <w:rFonts w:ascii="Times New Roman" w:hAnsi="Times New Roman"/>
          <w:sz w:val="24"/>
          <w:szCs w:val="24"/>
        </w:rPr>
        <w:t xml:space="preserve"> применяется для оценки застроенных земельных участков.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Условия применения метода: наличие и</w:t>
      </w:r>
      <w:r>
        <w:rPr>
          <w:rFonts w:ascii="Times New Roman" w:hAnsi="Times New Roman"/>
          <w:sz w:val="24"/>
          <w:szCs w:val="24"/>
        </w:rPr>
        <w:t>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 соответстви</w:t>
      </w:r>
      <w:r>
        <w:rPr>
          <w:rFonts w:ascii="Times New Roman" w:hAnsi="Times New Roman"/>
          <w:sz w:val="24"/>
          <w:szCs w:val="24"/>
        </w:rPr>
        <w:t>е улучшений земельного участка его наиболее эффективному использованию. Расчет рыночной стоимости оцениваемого земельного участка производится путем вычитания из рыночной стоимости единого объекта недвижимости, включающего в себя оцениваемый земельный учас</w:t>
      </w:r>
      <w:r>
        <w:rPr>
          <w:rFonts w:ascii="Times New Roman" w:hAnsi="Times New Roman"/>
          <w:sz w:val="24"/>
          <w:szCs w:val="24"/>
        </w:rPr>
        <w:t>ток, стоимости замещения или стоимости воспроизводства улучшений земельного участка.</w:t>
      </w:r>
    </w:p>
    <w:p w:rsidR="00E85D42" w:rsidRDefault="008113B9">
      <w:pPr>
        <w:pStyle w:val="affffc"/>
        <w:ind w:firstLine="709"/>
        <w:jc w:val="both"/>
      </w:pPr>
      <w:r>
        <w:rPr>
          <w:rFonts w:ascii="Times New Roman" w:hAnsi="Times New Roman"/>
          <w:sz w:val="24"/>
          <w:szCs w:val="24"/>
          <w:u w:val="single"/>
        </w:rPr>
        <w:t>Метод распределения</w:t>
      </w:r>
      <w:r>
        <w:rPr>
          <w:rFonts w:ascii="Times New Roman" w:hAnsi="Times New Roman"/>
          <w:sz w:val="24"/>
          <w:szCs w:val="24"/>
        </w:rPr>
        <w:t xml:space="preserve"> применяется для оценки застроенных земельных участков.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Условия применения метода: наличие информации о ценах сделок с едиными объектами недвижимости, а</w:t>
      </w:r>
      <w:r>
        <w:rPr>
          <w:rFonts w:ascii="Times New Roman" w:hAnsi="Times New Roman"/>
          <w:sz w:val="24"/>
          <w:szCs w:val="24"/>
        </w:rPr>
        <w:t>налогичными единому объекту недвижимости, включающему в себя оцениваемый земельный участок; наличие информации о наиболее вероятной доле земельного участка в рыночной стоимости единого объекта недвижимости; соответствие улучшений земельного участка его наи</w:t>
      </w:r>
      <w:r>
        <w:rPr>
          <w:rFonts w:ascii="Times New Roman" w:hAnsi="Times New Roman"/>
          <w:sz w:val="24"/>
          <w:szCs w:val="24"/>
        </w:rPr>
        <w:t xml:space="preserve">более эффективному использованию. Расчет рыночной стоимости оцениваемого земельного участка производится путем умножения рыночной стоимости единого объекта недвижимости, включающего в себя оцениваемый земельный участок, на наиболее вероятное значение доли </w:t>
      </w:r>
      <w:r>
        <w:rPr>
          <w:rFonts w:ascii="Times New Roman" w:hAnsi="Times New Roman"/>
          <w:sz w:val="24"/>
          <w:szCs w:val="24"/>
        </w:rPr>
        <w:t>земельного участка в рыночной стоимости единого объекта недвижимости.</w:t>
      </w:r>
    </w:p>
    <w:p w:rsidR="00E85D42" w:rsidRDefault="008113B9">
      <w:pPr>
        <w:pStyle w:val="affffc"/>
        <w:ind w:firstLine="709"/>
        <w:jc w:val="both"/>
        <w:rPr>
          <w:rFonts w:ascii="Times New Roman" w:hAnsi="Times New Roman"/>
          <w:sz w:val="24"/>
          <w:szCs w:val="24"/>
          <w:u w:val="single"/>
        </w:rPr>
      </w:pPr>
      <w:r>
        <w:rPr>
          <w:rFonts w:ascii="Times New Roman" w:hAnsi="Times New Roman"/>
          <w:sz w:val="24"/>
          <w:szCs w:val="24"/>
          <w:u w:val="single"/>
        </w:rPr>
        <w:t>Методы, применяемые в рамках доходного подхода:</w:t>
      </w:r>
    </w:p>
    <w:p w:rsidR="00E85D42" w:rsidRDefault="008113B9">
      <w:pPr>
        <w:pStyle w:val="affffc"/>
        <w:ind w:firstLine="709"/>
        <w:jc w:val="both"/>
      </w:pPr>
      <w:r>
        <w:rPr>
          <w:rFonts w:ascii="Times New Roman" w:hAnsi="Times New Roman"/>
          <w:sz w:val="24"/>
          <w:szCs w:val="24"/>
          <w:u w:val="single"/>
        </w:rPr>
        <w:t>Метод капитализации</w:t>
      </w:r>
      <w:r>
        <w:rPr>
          <w:rFonts w:ascii="Times New Roman" w:hAnsi="Times New Roman"/>
          <w:sz w:val="24"/>
          <w:szCs w:val="24"/>
        </w:rPr>
        <w:t xml:space="preserve"> земельной ренты применяется для оценки застроенных и незастроенных земельных участков. Условие применения метода - воз</w:t>
      </w:r>
      <w:r>
        <w:rPr>
          <w:rFonts w:ascii="Times New Roman" w:hAnsi="Times New Roman"/>
          <w:sz w:val="24"/>
          <w:szCs w:val="24"/>
        </w:rPr>
        <w:t>можность получения земельной ренты от оцениваемого земельного участка. Под капитализацией земельной ренты понимается определение на дату проведения оценки стоимости всех будущих равных между собой или изменяющихся с одинаковым темпом величин земельной рент</w:t>
      </w:r>
      <w:r>
        <w:rPr>
          <w:rFonts w:ascii="Times New Roman" w:hAnsi="Times New Roman"/>
          <w:sz w:val="24"/>
          <w:szCs w:val="24"/>
        </w:rPr>
        <w:t>ы за равные периоды  времени. Расчет производится путем деления величины земельной ренты за первый после даты проведения оценки период на определенный оценщиком соответствующий коэффициент капитализации.</w:t>
      </w:r>
    </w:p>
    <w:p w:rsidR="00E85D42" w:rsidRDefault="008113B9">
      <w:pPr>
        <w:pStyle w:val="affffc"/>
        <w:ind w:firstLine="709"/>
        <w:jc w:val="both"/>
      </w:pPr>
      <w:r>
        <w:rPr>
          <w:rFonts w:ascii="Times New Roman" w:hAnsi="Times New Roman"/>
          <w:sz w:val="24"/>
          <w:szCs w:val="24"/>
          <w:u w:val="single"/>
        </w:rPr>
        <w:t>Метод остатка</w:t>
      </w:r>
      <w:r>
        <w:rPr>
          <w:rFonts w:ascii="Times New Roman" w:hAnsi="Times New Roman"/>
          <w:sz w:val="24"/>
          <w:szCs w:val="24"/>
        </w:rPr>
        <w:t xml:space="preserve"> применяется для оценки застроенных и н</w:t>
      </w:r>
      <w:r>
        <w:rPr>
          <w:rFonts w:ascii="Times New Roman" w:hAnsi="Times New Roman"/>
          <w:sz w:val="24"/>
          <w:szCs w:val="24"/>
        </w:rPr>
        <w:t>езастроенных земельных участков. Условие применения метода - возможность застройки оцениваемого земельного участка улучшениями, приносящими доход. Расчет рыночной стоимости земельного участка проводится путем капитализации земельной ренты, рассчитанной как</w:t>
      </w:r>
      <w:r>
        <w:rPr>
          <w:rFonts w:ascii="Times New Roman" w:hAnsi="Times New Roman"/>
          <w:sz w:val="24"/>
          <w:szCs w:val="24"/>
        </w:rPr>
        <w:t xml:space="preserve"> разность чистого операционного дохода от единого объекта недвижимости за определенный период времени и чистого операционного дохода, приходящегося на улучшения за соответствующий период времени.</w:t>
      </w:r>
    </w:p>
    <w:p w:rsidR="00E85D42" w:rsidRDefault="008113B9">
      <w:pPr>
        <w:pStyle w:val="affffc"/>
        <w:ind w:firstLine="709"/>
        <w:jc w:val="both"/>
      </w:pPr>
      <w:r>
        <w:rPr>
          <w:rFonts w:ascii="Times New Roman" w:hAnsi="Times New Roman"/>
          <w:sz w:val="24"/>
          <w:szCs w:val="24"/>
          <w:u w:val="single"/>
        </w:rPr>
        <w:t>Метод предполагаемого использования</w:t>
      </w:r>
      <w:r>
        <w:rPr>
          <w:rFonts w:ascii="Times New Roman" w:hAnsi="Times New Roman"/>
          <w:sz w:val="24"/>
          <w:szCs w:val="24"/>
        </w:rPr>
        <w:t xml:space="preserve"> применяется для оценки з</w:t>
      </w:r>
      <w:r>
        <w:rPr>
          <w:rFonts w:ascii="Times New Roman" w:hAnsi="Times New Roman"/>
          <w:sz w:val="24"/>
          <w:szCs w:val="24"/>
        </w:rPr>
        <w:t>астроенных и незастроенных земельных участков. Условие применения метода - возможность использования земельного участка способом, приносящим доход. Расчет стоимости земельного участка проводится путем дисконтирования всех доходов и расходов, связанных с ис</w:t>
      </w:r>
      <w:r>
        <w:rPr>
          <w:rFonts w:ascii="Times New Roman" w:hAnsi="Times New Roman"/>
          <w:sz w:val="24"/>
          <w:szCs w:val="24"/>
        </w:rPr>
        <w:t>пользованием земельного участка.</w:t>
      </w:r>
    </w:p>
    <w:p w:rsidR="00E85D42" w:rsidRDefault="008113B9">
      <w:pPr>
        <w:pStyle w:val="affffc"/>
        <w:ind w:firstLine="709"/>
        <w:jc w:val="both"/>
      </w:pPr>
      <w:r>
        <w:rPr>
          <w:rFonts w:ascii="Times New Roman" w:hAnsi="Times New Roman"/>
          <w:sz w:val="24"/>
          <w:szCs w:val="24"/>
          <w:u w:val="single"/>
        </w:rPr>
        <w:t>Затратный подход</w:t>
      </w:r>
      <w:r>
        <w:rPr>
          <w:rFonts w:ascii="Times New Roman" w:hAnsi="Times New Roman"/>
          <w:sz w:val="24"/>
          <w:szCs w:val="24"/>
        </w:rPr>
        <w:t xml:space="preserve"> методологически не применяется в оценке стоимости земельных участков.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Земельные участки населенных пунктов под объекты придорожного сервиса оцениваются, как правило, методом сравнения продаж или методом кап</w:t>
      </w:r>
      <w:r>
        <w:rPr>
          <w:rFonts w:ascii="Times New Roman" w:hAnsi="Times New Roman"/>
          <w:sz w:val="24"/>
          <w:szCs w:val="24"/>
        </w:rPr>
        <w:t>итализации ренты.</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На основании анализа рынка недвижимости Республики Башкортостан не было выявлено аналогов сдачи в аренду объектов, составляющих имущественный комплекс АЗС и земельный участок.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В виду отсутствия информации для корректного определения пред</w:t>
      </w:r>
      <w:r>
        <w:rPr>
          <w:rFonts w:ascii="Times New Roman" w:hAnsi="Times New Roman"/>
          <w:sz w:val="24"/>
          <w:szCs w:val="24"/>
        </w:rPr>
        <w:t xml:space="preserve">полагаемой земельной ренты невозможно применение метода капитализации земельной ренты.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На основании анализа рынка недвижимости Республики Башкортостан выявлены предложения к продаже свободных земельных участков под АЗС, автомойки, мастерские. На основании</w:t>
      </w:r>
      <w:r>
        <w:rPr>
          <w:rFonts w:ascii="Times New Roman" w:hAnsi="Times New Roman"/>
          <w:sz w:val="24"/>
          <w:szCs w:val="24"/>
        </w:rPr>
        <w:t xml:space="preserve"> имеющейся информации возможно применение метода сравнения продаж.</w:t>
      </w:r>
    </w:p>
    <w:p w:rsidR="00E85D42" w:rsidRDefault="008113B9">
      <w:pPr>
        <w:autoSpaceDE w:val="0"/>
        <w:spacing w:line="276" w:lineRule="auto"/>
        <w:ind w:firstLine="709"/>
        <w:jc w:val="both"/>
        <w:rPr>
          <w:b/>
          <w:sz w:val="24"/>
          <w:szCs w:val="24"/>
        </w:rPr>
      </w:pPr>
      <w:r>
        <w:rPr>
          <w:b/>
          <w:sz w:val="24"/>
          <w:szCs w:val="24"/>
        </w:rPr>
        <w:t>Таким образом, для оценки рыночной стоимости эталонных земельных участков наиболее целесообразно использование методов сравнительного подхода, а именно – метода сравнения продаж.</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В рамках </w:t>
      </w:r>
      <w:r>
        <w:rPr>
          <w:rFonts w:ascii="Times New Roman" w:hAnsi="Times New Roman"/>
          <w:sz w:val="24"/>
          <w:szCs w:val="24"/>
        </w:rPr>
        <w:t>данного метода были проанализированы факты сделок купли-продажи объектов недвижимости, сопоставимых по своим характеристикам с объектами оценки.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Кроме того, была проанализирована информация по ценам предложений (публичных оферт) объектов недвижимости, сопо</w:t>
      </w:r>
      <w:r>
        <w:rPr>
          <w:rFonts w:ascii="Times New Roman" w:hAnsi="Times New Roman"/>
          <w:sz w:val="24"/>
          <w:szCs w:val="24"/>
        </w:rPr>
        <w:t>ставимых по своим характеристикам с объектами оценки. Такой подход, по мнению Оценщика, оправдан с той точки зрения, что потенциальный покупатель прежде, чем принять решение о покупке объекта недвижимости проанализирует текущее рыночное предложение и приде</w:t>
      </w:r>
      <w:r>
        <w:rPr>
          <w:rFonts w:ascii="Times New Roman" w:hAnsi="Times New Roman"/>
          <w:sz w:val="24"/>
          <w:szCs w:val="24"/>
        </w:rPr>
        <w:t xml:space="preserve">т к заключению о возможной цене предлагаемого земельного участка, учитывая все его достоинства и недостатки относительно объектов сравнения.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В результате проведенного анализа были подобраны предложения о продаже аналогов сопоставимых с объектами оценки по</w:t>
      </w:r>
      <w:r>
        <w:rPr>
          <w:rFonts w:ascii="Times New Roman" w:hAnsi="Times New Roman"/>
          <w:sz w:val="24"/>
          <w:szCs w:val="24"/>
        </w:rPr>
        <w:t xml:space="preserve"> основным ценообразующим характеристикам.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Для проведения расчетов помимо информации, имеющейся в объявлениях на продажу, в рамках выбранной методики расчета необходимы дополнительные сведения характеризующие объекты аналоги:</w:t>
      </w:r>
    </w:p>
    <w:p w:rsidR="00E85D42" w:rsidRDefault="008113B9">
      <w:pPr>
        <w:pStyle w:val="affffc"/>
        <w:ind w:firstLine="709"/>
        <w:jc w:val="both"/>
        <w:rPr>
          <w:rFonts w:ascii="Times New Roman" w:hAnsi="Times New Roman"/>
          <w:b/>
          <w:i/>
          <w:sz w:val="24"/>
          <w:szCs w:val="24"/>
        </w:rPr>
      </w:pPr>
      <w:r>
        <w:rPr>
          <w:rFonts w:ascii="Times New Roman" w:hAnsi="Times New Roman"/>
          <w:b/>
          <w:i/>
          <w:sz w:val="24"/>
          <w:szCs w:val="24"/>
        </w:rPr>
        <w:t xml:space="preserve">Для сельских населенных </w:t>
      </w:r>
      <w:r>
        <w:rPr>
          <w:rFonts w:ascii="Times New Roman" w:hAnsi="Times New Roman"/>
          <w:b/>
          <w:i/>
          <w:sz w:val="24"/>
          <w:szCs w:val="24"/>
        </w:rPr>
        <w:t>пунктов: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Расположение относительно крупных автодорог (тип трассы);</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Статус населенного пункта;</w:t>
      </w:r>
    </w:p>
    <w:p w:rsidR="00E85D42" w:rsidRDefault="008113B9">
      <w:pPr>
        <w:pStyle w:val="affffc"/>
        <w:ind w:firstLine="709"/>
        <w:jc w:val="both"/>
        <w:rPr>
          <w:rFonts w:ascii="Times New Roman" w:hAnsi="Times New Roman"/>
          <w:b/>
          <w:i/>
          <w:sz w:val="24"/>
          <w:szCs w:val="24"/>
        </w:rPr>
      </w:pPr>
      <w:r>
        <w:rPr>
          <w:rFonts w:ascii="Times New Roman" w:hAnsi="Times New Roman"/>
          <w:b/>
          <w:i/>
          <w:sz w:val="24"/>
          <w:szCs w:val="24"/>
        </w:rPr>
        <w:t>Для городских населенных пунктов: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Расположение вдоль основных городских дорог;</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Выход на «красную» линию;</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Район расположения в городе (окраина, центр).</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Информация </w:t>
      </w:r>
      <w:r>
        <w:rPr>
          <w:rFonts w:ascii="Times New Roman" w:hAnsi="Times New Roman"/>
          <w:sz w:val="24"/>
          <w:szCs w:val="24"/>
        </w:rPr>
        <w:t xml:space="preserve">о сделках купли-продажи и фактах предложений аналогов с учетом произведенных уточнений является достаточной и достоверной.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Алгоритм применения метода сравнения продаж в рамках сравнительного подхода имеет следующий вид:</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определение элементов, по которым</w:t>
      </w:r>
      <w:r>
        <w:rPr>
          <w:rFonts w:ascii="Times New Roman" w:hAnsi="Times New Roman"/>
          <w:sz w:val="24"/>
          <w:szCs w:val="24"/>
        </w:rPr>
        <w:t xml:space="preserve"> осуществляется сравнение объекта оценки с объектами-аналогами (далее – элементов (единиц) сравнения);</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определение по каждому из элементов сравнения характера и степени отличий каждого аналога от оцениваемого земельного участка;</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 определение по каждому </w:t>
      </w:r>
      <w:r>
        <w:rPr>
          <w:rFonts w:ascii="Times New Roman" w:hAnsi="Times New Roman"/>
          <w:sz w:val="24"/>
          <w:szCs w:val="24"/>
        </w:rPr>
        <w:t>из элементов сравнения корректировок цен аналогов, соответствующих характеру и степени отличий каждого аналога от оцениваемого земельного участка;</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корректировка по каждому из элементов сравнения цен каждого аналога, сглаживающая их отличия от оцениваемог</w:t>
      </w:r>
      <w:r>
        <w:rPr>
          <w:rFonts w:ascii="Times New Roman" w:hAnsi="Times New Roman"/>
          <w:sz w:val="24"/>
          <w:szCs w:val="24"/>
        </w:rPr>
        <w:t xml:space="preserve">о земельного участка.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В рамках данной работы в качестве единицы сравнения был принят 1 кв.м. </w:t>
      </w:r>
    </w:p>
    <w:p w:rsidR="00E85D42" w:rsidRDefault="008113B9">
      <w:pPr>
        <w:spacing w:line="276" w:lineRule="auto"/>
        <w:ind w:firstLine="720"/>
        <w:jc w:val="both"/>
        <w:rPr>
          <w:sz w:val="24"/>
          <w:szCs w:val="24"/>
        </w:rPr>
      </w:pPr>
      <w:r>
        <w:rPr>
          <w:sz w:val="24"/>
          <w:szCs w:val="24"/>
        </w:rPr>
        <w:t>Описание объектов-аналогов для эталонных земельных участков, расчетные таблицы, описание корректировок приведено в Приложении 3 «Объекты придорожного сервиса».</w:t>
      </w:r>
    </w:p>
    <w:p w:rsidR="00E85D42" w:rsidRDefault="00E85D42">
      <w:pPr>
        <w:autoSpaceDE w:val="0"/>
        <w:ind w:firstLine="567"/>
        <w:jc w:val="both"/>
        <w:rPr>
          <w:rFonts w:eastAsia="Calibri"/>
          <w:sz w:val="24"/>
          <w:szCs w:val="24"/>
          <w:lang w:eastAsia="en-US"/>
        </w:rPr>
      </w:pPr>
    </w:p>
    <w:p w:rsidR="00E85D42" w:rsidRDefault="00E85D42">
      <w:pPr>
        <w:autoSpaceDE w:val="0"/>
        <w:jc w:val="both"/>
        <w:rPr>
          <w:rFonts w:eastAsia="Calibri"/>
          <w:color w:val="000000"/>
          <w:sz w:val="24"/>
          <w:lang w:eastAsia="en-US"/>
        </w:rPr>
      </w:pPr>
    </w:p>
    <w:p w:rsidR="00E85D42" w:rsidRDefault="008113B9">
      <w:pPr>
        <w:pStyle w:val="ab"/>
        <w:keepNext/>
        <w:numPr>
          <w:ilvl w:val="1"/>
          <w:numId w:val="22"/>
        </w:numPr>
        <w:tabs>
          <w:tab w:val="left" w:pos="1044"/>
        </w:tabs>
        <w:jc w:val="both"/>
        <w:rPr>
          <w:b/>
          <w:sz w:val="24"/>
        </w:rPr>
      </w:pPr>
      <w:bookmarkStart w:id="147" w:name="_Toc11934899"/>
      <w:r>
        <w:rPr>
          <w:b/>
          <w:sz w:val="24"/>
        </w:rPr>
        <w:t>Расчет земельных участков в рамках массовой оценки</w:t>
      </w:r>
      <w:bookmarkEnd w:id="147"/>
    </w:p>
    <w:p w:rsidR="00E85D42" w:rsidRDefault="008113B9">
      <w:pPr>
        <w:pStyle w:val="8"/>
        <w:numPr>
          <w:ilvl w:val="2"/>
          <w:numId w:val="22"/>
        </w:numPr>
        <w:ind w:left="567"/>
      </w:pPr>
      <w:r>
        <w:rPr>
          <w:b/>
          <w:sz w:val="24"/>
        </w:rPr>
        <w:t>Расчет кадастровой стоимости земельных участков, отнесенных по виду разрешенного использования к сегменту «Сельскохозяйственное использование»:</w:t>
      </w:r>
      <w:r>
        <w:t xml:space="preserve"> </w:t>
      </w:r>
      <w:r>
        <w:rPr>
          <w:b/>
          <w:sz w:val="24"/>
        </w:rPr>
        <w:t>01:000, 01:010, 01:020, 01:030, 01:031, 01:032, 01:040, 01:0</w:t>
      </w:r>
      <w:r>
        <w:rPr>
          <w:b/>
          <w:sz w:val="24"/>
        </w:rPr>
        <w:t>41, 01:042, 01:050, 01:051, 01:052, 01:053, 01:054, 01:060, 01:070, 01:080, 01:081, 01:082, 01:083, 01:084, 01:085, 01:086, 01:120, 01:121, 01:130, 01:131, 01:140, 01:141, 01:142, 01:160, 01:170, 01:171, 02:012, 02:015, 02:022, 02:033, 13:010, 13:020, 13:0</w:t>
      </w:r>
      <w:r>
        <w:rPr>
          <w:b/>
          <w:sz w:val="24"/>
        </w:rPr>
        <w:t>30.</w:t>
      </w:r>
    </w:p>
    <w:p w:rsidR="00E85D42" w:rsidRDefault="008113B9">
      <w:pPr>
        <w:widowControl w:val="0"/>
        <w:autoSpaceDE w:val="0"/>
        <w:ind w:firstLine="539"/>
        <w:jc w:val="both"/>
      </w:pPr>
      <w:r>
        <w:rPr>
          <w:i/>
          <w:sz w:val="24"/>
        </w:rPr>
        <w:t xml:space="preserve">Определение кадастровой стоимости земельных участков с видами использования 01:000, 01:010, 01:020, 01:030, 01:031, 01:032, 01:040, 01:041, 01:042, 01:050, 01:051, 01:052, 01:053, 01:054, 01:060, 01:070, 01:080, 01:081, 01:082, 01:083, 01:084, 01:085, </w:t>
      </w:r>
      <w:r>
        <w:rPr>
          <w:i/>
          <w:sz w:val="24"/>
        </w:rPr>
        <w:t>01:086, 01:120, 01:121, 01:140, 01:141, 01:142, 01:160, 01:170, 01:171, 02:012, 02:015, 02:022, 02:033, 13:010, 13:020, 13:030</w:t>
      </w:r>
      <w:r>
        <w:rPr>
          <w:sz w:val="24"/>
        </w:rPr>
        <w:t xml:space="preserve"> осуществлено, в соответствии с п.п. 9.2.2.1.5 Указаний, методом капитализации земельной ренты, рассчитываемой как разность между </w:t>
      </w:r>
      <w:r>
        <w:rPr>
          <w:sz w:val="24"/>
        </w:rPr>
        <w:t xml:space="preserve">валовым доходом и затратами на возделывание и уборку сельскохозяйственной продукции. </w:t>
      </w:r>
    </w:p>
    <w:p w:rsidR="00E85D42" w:rsidRDefault="008113B9">
      <w:pPr>
        <w:widowControl w:val="0"/>
        <w:autoSpaceDE w:val="0"/>
        <w:ind w:firstLine="539"/>
        <w:jc w:val="both"/>
        <w:rPr>
          <w:sz w:val="24"/>
        </w:rPr>
      </w:pPr>
      <w:r>
        <w:rPr>
          <w:sz w:val="24"/>
        </w:rPr>
        <w:t>Валовой доход рассчитывается как произведение нормативной урожайности сельскохозяйственной культуры на ее рыночную цену.</w:t>
      </w:r>
    </w:p>
    <w:p w:rsidR="00E85D42" w:rsidRDefault="008113B9">
      <w:pPr>
        <w:widowControl w:val="0"/>
        <w:autoSpaceDE w:val="0"/>
        <w:ind w:firstLine="539"/>
        <w:jc w:val="both"/>
        <w:rPr>
          <w:sz w:val="24"/>
        </w:rPr>
      </w:pPr>
      <w:r>
        <w:rPr>
          <w:sz w:val="24"/>
        </w:rPr>
        <w:t xml:space="preserve">Нормативная урожайность сельскохозяйственной </w:t>
      </w:r>
      <w:r>
        <w:rPr>
          <w:sz w:val="24"/>
        </w:rPr>
        <w:t>культуры определена в следующей последовательности:</w:t>
      </w:r>
    </w:p>
    <w:p w:rsidR="00E85D42" w:rsidRDefault="008113B9">
      <w:pPr>
        <w:widowControl w:val="0"/>
        <w:autoSpaceDE w:val="0"/>
        <w:ind w:firstLine="539"/>
        <w:jc w:val="both"/>
        <w:rPr>
          <w:sz w:val="24"/>
        </w:rPr>
      </w:pPr>
      <w:r>
        <w:rPr>
          <w:sz w:val="24"/>
        </w:rPr>
        <w:t>1) определен перечень почвенных разностей и их долей в общей площади оцениваемого земельного участка. Перечень почвенных разностей определен в соответствии данными почвенных карт Республики Башкортостан и</w:t>
      </w:r>
      <w:r>
        <w:rPr>
          <w:sz w:val="24"/>
        </w:rPr>
        <w:t>з материалов справочно-энциклопедического издания «Башкирская Энциклопедия» и границ земельных участков в составе земель сельскохозяйственного использования, устанавливаемых на основе данных ЕГРН. Информация о наименовании почвенных разностей с указанием и</w:t>
      </w:r>
      <w:r>
        <w:rPr>
          <w:sz w:val="24"/>
        </w:rPr>
        <w:t>х доли в площади земельного участка представлен приложении 2 (Папка «1. Сельскохозяйственное использование»). Значения характеристик почв определены на основании Единого государственного реестра почвенных ресурсов России, фонда данных предыдущих туров госу</w:t>
      </w:r>
      <w:r>
        <w:rPr>
          <w:sz w:val="24"/>
        </w:rPr>
        <w:t>дарственной кадастровой оценки земель сельскохозяйственного назначения.</w:t>
      </w:r>
    </w:p>
    <w:p w:rsidR="00E85D42" w:rsidRDefault="008113B9">
      <w:pPr>
        <w:widowControl w:val="0"/>
        <w:autoSpaceDE w:val="0"/>
        <w:ind w:firstLine="539"/>
        <w:jc w:val="both"/>
        <w:rPr>
          <w:sz w:val="24"/>
        </w:rPr>
      </w:pPr>
      <w:r>
        <w:rPr>
          <w:sz w:val="24"/>
        </w:rPr>
        <w:t>2) определен перечень и структура посевов всех сельскохозяйственных культур, возможных к выращиванию, в разрезе почвенных разностей на основании Справочника агроклиматического оценочно</w:t>
      </w:r>
      <w:r>
        <w:rPr>
          <w:sz w:val="24"/>
        </w:rPr>
        <w:t>го зонирования субъектов Российской Федерации, стр. 108-109.</w:t>
      </w:r>
    </w:p>
    <w:p w:rsidR="00E85D42" w:rsidRDefault="008113B9">
      <w:pPr>
        <w:widowControl w:val="0"/>
        <w:autoSpaceDE w:val="0"/>
        <w:ind w:firstLine="539"/>
        <w:jc w:val="both"/>
      </w:pPr>
      <w:r>
        <w:rPr>
          <w:sz w:val="24"/>
        </w:rPr>
        <w:t>Нормативная урожайность зерновых культур рассчитывается по формуле:</w:t>
      </w:r>
      <w:r>
        <w:rPr>
          <w:rStyle w:val="af4"/>
          <w:sz w:val="24"/>
        </w:rPr>
        <w:footnoteReference w:id="23"/>
      </w:r>
    </w:p>
    <w:p w:rsidR="00E85D42" w:rsidRDefault="008113B9">
      <w:pPr>
        <w:autoSpaceDE w:val="0"/>
      </w:pPr>
      <w:r>
        <w:rPr>
          <w:noProof/>
          <w:vertAlign w:val="superscript"/>
        </w:rPr>
        <w:drawing>
          <wp:inline distT="0" distB="0" distL="0" distR="0">
            <wp:extent cx="3276596" cy="619121"/>
            <wp:effectExtent l="0" t="0" r="4" b="0"/>
            <wp:docPr id="137"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3276596" cy="619121"/>
                    </a:xfrm>
                    <a:prstGeom prst="rect">
                      <a:avLst/>
                    </a:prstGeom>
                    <a:noFill/>
                    <a:ln>
                      <a:noFill/>
                      <a:prstDash/>
                    </a:ln>
                  </pic:spPr>
                </pic:pic>
              </a:graphicData>
            </a:graphic>
          </wp:inline>
        </w:drawing>
      </w:r>
      <w:r>
        <w:rPr>
          <w:rFonts w:ascii="TimesNewRomanPSMT" w:eastAsia="Calibri" w:hAnsi="TimesNewRomanPSMT" w:cs="TimesNewRomanPSMT"/>
          <w:sz w:val="32"/>
          <w:szCs w:val="32"/>
          <w:lang w:eastAsia="en-US"/>
        </w:rPr>
        <w:t>где:</w:t>
      </w:r>
    </w:p>
    <w:p w:rsidR="00E85D42" w:rsidRDefault="008113B9">
      <w:pPr>
        <w:widowControl w:val="0"/>
        <w:autoSpaceDE w:val="0"/>
        <w:ind w:firstLine="539"/>
        <w:jc w:val="both"/>
      </w:pPr>
      <w:r>
        <w:rPr>
          <w:sz w:val="24"/>
        </w:rPr>
        <w:t>У</w:t>
      </w:r>
      <w:r>
        <w:rPr>
          <w:sz w:val="24"/>
          <w:vertAlign w:val="subscript"/>
        </w:rPr>
        <w:t>н</w:t>
      </w:r>
      <w:r>
        <w:rPr>
          <w:sz w:val="24"/>
        </w:rPr>
        <w:t xml:space="preserve"> - нормативная урожайность зерновых культур, ц/га;</w:t>
      </w:r>
    </w:p>
    <w:p w:rsidR="00E85D42" w:rsidRDefault="008113B9">
      <w:pPr>
        <w:widowControl w:val="0"/>
        <w:autoSpaceDE w:val="0"/>
        <w:ind w:firstLine="539"/>
        <w:jc w:val="both"/>
        <w:rPr>
          <w:sz w:val="24"/>
        </w:rPr>
      </w:pPr>
      <w:r>
        <w:rPr>
          <w:sz w:val="24"/>
        </w:rPr>
        <w:t>АП – величина агроклиматического потенциала (АП) по агроклиматической подзоне для зерновых культур (по Карманову И.</w:t>
      </w:r>
      <w:r>
        <w:rPr>
          <w:sz w:val="24"/>
        </w:rPr>
        <w:t>И.);</w:t>
      </w:r>
    </w:p>
    <w:p w:rsidR="00E85D42" w:rsidRDefault="008113B9">
      <w:pPr>
        <w:widowControl w:val="0"/>
        <w:autoSpaceDE w:val="0"/>
        <w:ind w:firstLine="539"/>
        <w:jc w:val="both"/>
        <w:rPr>
          <w:sz w:val="24"/>
        </w:rPr>
      </w:pPr>
      <w:r>
        <w:rPr>
          <w:sz w:val="24"/>
        </w:rPr>
        <w:t>10,0 – базовое значение величины АП;</w:t>
      </w:r>
    </w:p>
    <w:p w:rsidR="00E85D42" w:rsidRDefault="008113B9">
      <w:pPr>
        <w:widowControl w:val="0"/>
        <w:autoSpaceDE w:val="0"/>
        <w:ind w:firstLine="539"/>
        <w:jc w:val="both"/>
        <w:rPr>
          <w:sz w:val="24"/>
        </w:rPr>
      </w:pPr>
      <w:r>
        <w:rPr>
          <w:sz w:val="24"/>
        </w:rPr>
        <w:t>33,2 – нормативная урожайность (ц/га) зерновых культур на эталонной почве, соответствующая нормам зональных технологий при базовом значении АП (10,0);</w:t>
      </w:r>
    </w:p>
    <w:p w:rsidR="00E85D42" w:rsidRDefault="008113B9">
      <w:pPr>
        <w:widowControl w:val="0"/>
        <w:autoSpaceDE w:val="0"/>
        <w:ind w:firstLine="539"/>
        <w:jc w:val="both"/>
        <w:rPr>
          <w:sz w:val="24"/>
        </w:rPr>
      </w:pPr>
      <w:r>
        <w:rPr>
          <w:sz w:val="24"/>
        </w:rPr>
        <w:t>1,4 – коэффициент пересчета на уровень урожайности при интенсив</w:t>
      </w:r>
      <w:r>
        <w:rPr>
          <w:sz w:val="24"/>
        </w:rPr>
        <w:t>ной технологии возделывания культур;</w:t>
      </w:r>
    </w:p>
    <w:p w:rsidR="00E85D42" w:rsidRDefault="008113B9">
      <w:pPr>
        <w:widowControl w:val="0"/>
        <w:autoSpaceDE w:val="0"/>
        <w:ind w:firstLine="539"/>
        <w:jc w:val="both"/>
        <w:rPr>
          <w:sz w:val="24"/>
        </w:rPr>
      </w:pPr>
      <w:r>
        <w:rPr>
          <w:sz w:val="24"/>
        </w:rPr>
        <w:t>К1...К4 – поправочные коэффициенты:</w:t>
      </w:r>
    </w:p>
    <w:p w:rsidR="00E85D42" w:rsidRDefault="008113B9">
      <w:pPr>
        <w:widowControl w:val="0"/>
        <w:autoSpaceDE w:val="0"/>
        <w:ind w:firstLine="539"/>
        <w:jc w:val="both"/>
        <w:rPr>
          <w:sz w:val="24"/>
        </w:rPr>
      </w:pPr>
      <w:r>
        <w:rPr>
          <w:sz w:val="24"/>
        </w:rPr>
        <w:t>К1 – на содержание гумуса в пахотном слое (Приложение 7 ТУ, стр.84);</w:t>
      </w:r>
    </w:p>
    <w:p w:rsidR="00E85D42" w:rsidRDefault="008113B9">
      <w:pPr>
        <w:widowControl w:val="0"/>
        <w:autoSpaceDE w:val="0"/>
        <w:ind w:firstLine="539"/>
        <w:jc w:val="both"/>
        <w:rPr>
          <w:sz w:val="24"/>
        </w:rPr>
      </w:pPr>
      <w:r>
        <w:rPr>
          <w:sz w:val="24"/>
        </w:rPr>
        <w:t>К2 – на мощность гумусового горизонта (Приложение 8 ТУ, стр. 86);</w:t>
      </w:r>
    </w:p>
    <w:p w:rsidR="00E85D42" w:rsidRDefault="008113B9">
      <w:pPr>
        <w:widowControl w:val="0"/>
        <w:autoSpaceDE w:val="0"/>
        <w:ind w:firstLine="539"/>
        <w:jc w:val="both"/>
        <w:rPr>
          <w:sz w:val="24"/>
        </w:rPr>
      </w:pPr>
      <w:r>
        <w:rPr>
          <w:sz w:val="24"/>
        </w:rPr>
        <w:t>К3– на содержание физической глины в пахотном сл</w:t>
      </w:r>
      <w:r>
        <w:rPr>
          <w:sz w:val="24"/>
        </w:rPr>
        <w:t>ое (Приложение 9 ТУ, стр.87);</w:t>
      </w:r>
    </w:p>
    <w:p w:rsidR="00E85D42" w:rsidRDefault="008113B9">
      <w:pPr>
        <w:widowControl w:val="0"/>
        <w:autoSpaceDE w:val="0"/>
        <w:ind w:firstLine="539"/>
        <w:jc w:val="both"/>
        <w:rPr>
          <w:sz w:val="24"/>
        </w:rPr>
      </w:pPr>
      <w:r>
        <w:rPr>
          <w:sz w:val="24"/>
        </w:rPr>
        <w:t>К4 – на негативные свойства почв (Приложение 10 ТУ, стр. 88).</w:t>
      </w:r>
    </w:p>
    <w:p w:rsidR="00E85D42" w:rsidRDefault="008113B9">
      <w:pPr>
        <w:widowControl w:val="0"/>
        <w:autoSpaceDE w:val="0"/>
        <w:ind w:firstLine="539"/>
        <w:jc w:val="both"/>
        <w:rPr>
          <w:sz w:val="24"/>
        </w:rPr>
      </w:pPr>
      <w:r>
        <w:rPr>
          <w:sz w:val="24"/>
        </w:rPr>
        <w:t>Коэффициенты К1,К2,К3 разработаны с использованием материалов IV тура экономической оценки земель. Расчетный уровень продуктивности земель установлен по урожайности</w:t>
      </w:r>
      <w:r>
        <w:rPr>
          <w:sz w:val="24"/>
        </w:rPr>
        <w:t xml:space="preserve"> зерновых (всего зерновые) культур по интенсивным зональным технологиям с коэффициентом освоенности технологии 0,7 (коэффициент определен по материалам Госсортсети).</w:t>
      </w:r>
    </w:p>
    <w:p w:rsidR="00E85D42" w:rsidRDefault="008113B9">
      <w:pPr>
        <w:widowControl w:val="0"/>
        <w:autoSpaceDE w:val="0"/>
        <w:ind w:firstLine="539"/>
        <w:jc w:val="both"/>
        <w:rPr>
          <w:sz w:val="24"/>
        </w:rPr>
      </w:pPr>
      <w:r>
        <w:rPr>
          <w:sz w:val="24"/>
        </w:rPr>
        <w:t>Переход от нормативной урожайности зерновых к нормативной урожайности других сельскохозяйс</w:t>
      </w:r>
      <w:r>
        <w:rPr>
          <w:sz w:val="24"/>
        </w:rPr>
        <w:t xml:space="preserve">твенных культур осуществляется с применением коэффициентов перевода (Приложение 11 ТУ, 104). </w:t>
      </w:r>
    </w:p>
    <w:p w:rsidR="00E85D42" w:rsidRDefault="008113B9">
      <w:pPr>
        <w:widowControl w:val="0"/>
        <w:autoSpaceDE w:val="0"/>
        <w:ind w:firstLine="539"/>
        <w:jc w:val="both"/>
        <w:rPr>
          <w:sz w:val="24"/>
        </w:rPr>
      </w:pPr>
      <w:r>
        <w:rPr>
          <w:sz w:val="24"/>
        </w:rPr>
        <w:t>3) определен валовый доход на единицу площади для каждой сельскохозяйственной культуры из состава перечня культур как произведение ее нормативной урожайности на п</w:t>
      </w:r>
      <w:r>
        <w:rPr>
          <w:sz w:val="24"/>
        </w:rPr>
        <w:t>рогнозируемую цену реализации этой культуры. Валовый доход на единицу площади для каждого севооборота определяется как сумма произведений удельных валовых доходов сельскохозяйственных культур севооборота и площадей полей, занимаемых сельскохозяйственными к</w:t>
      </w:r>
      <w:r>
        <w:rPr>
          <w:sz w:val="24"/>
        </w:rPr>
        <w:t>ультурами, деленная на суммарную площадь полей севооборота Прогнозируемая цена реализации каждой сельскохозяйственной культуры рассчитывается исходя из анализа среднегодовых рыночных цен реализации, сложившихся за трех - пятилетний период, предшествующий г</w:t>
      </w:r>
      <w:r>
        <w:rPr>
          <w:sz w:val="24"/>
        </w:rPr>
        <w:t>оду определения кадастровой стоимости, с учетом индексации этих цен на дату определения кадастровой стоимости на условиях самовывоза.</w:t>
      </w:r>
    </w:p>
    <w:p w:rsidR="00E85D42" w:rsidRDefault="008113B9">
      <w:pPr>
        <w:widowControl w:val="0"/>
        <w:autoSpaceDE w:val="0"/>
        <w:ind w:firstLine="539"/>
        <w:jc w:val="both"/>
        <w:rPr>
          <w:sz w:val="24"/>
        </w:rPr>
      </w:pPr>
      <w:r>
        <w:rPr>
          <w:sz w:val="24"/>
        </w:rPr>
        <w:t>Определение затрат на единицу площади для целей Указаний на возделывание и уборку сельскохозяйственной продукции производи</w:t>
      </w:r>
      <w:r>
        <w:rPr>
          <w:sz w:val="24"/>
        </w:rPr>
        <w:t>тся на основе технологических карт и среднегодовых рыночных цен исходя из анализа среднегодовых рыночных цен, сложившихся за трех - пятилетний период, предшествующий году определения кадастровой стоимости, с учетом индексации этих цен на дату определения к</w:t>
      </w:r>
      <w:r>
        <w:rPr>
          <w:sz w:val="24"/>
        </w:rPr>
        <w:t>адастровой стоимости. Технологические карты устанавливают фактические (при отсутствии - статистические) затраты семян, горюче-смазочных материалов, удобрений и прочие затраты в натуральном выражении.</w:t>
      </w:r>
    </w:p>
    <w:p w:rsidR="00E85D42" w:rsidRDefault="008113B9">
      <w:pPr>
        <w:widowControl w:val="0"/>
        <w:autoSpaceDE w:val="0"/>
        <w:ind w:firstLine="539"/>
        <w:jc w:val="both"/>
        <w:rPr>
          <w:sz w:val="24"/>
        </w:rPr>
      </w:pPr>
      <w:r>
        <w:rPr>
          <w:sz w:val="24"/>
        </w:rPr>
        <w:t>Величина затрат на единицу площади для каждого севооборо</w:t>
      </w:r>
      <w:r>
        <w:rPr>
          <w:sz w:val="24"/>
        </w:rPr>
        <w:t>та для целей Указаний определяется как сумма произведений удельных затрат на возделывание сельскохозяйственных культур и площади полей, занятых этими культурами, поделенная на общую площадь полей в севообороте (далее - удельные затраты на возделывание).</w:t>
      </w:r>
    </w:p>
    <w:p w:rsidR="00E85D42" w:rsidRDefault="008113B9">
      <w:pPr>
        <w:widowControl w:val="0"/>
        <w:autoSpaceDE w:val="0"/>
        <w:ind w:firstLine="539"/>
        <w:jc w:val="both"/>
        <w:rPr>
          <w:sz w:val="24"/>
        </w:rPr>
      </w:pPr>
      <w:r>
        <w:rPr>
          <w:sz w:val="24"/>
        </w:rPr>
        <w:t>Пр</w:t>
      </w:r>
      <w:r>
        <w:rPr>
          <w:sz w:val="24"/>
        </w:rPr>
        <w:t>и расчете затрат в обязательном порядке должны учитываться затраты на поддержание плодородности почв для каждого севооборота. Данные о затратах на возделывание сельскохозяйственных культур в распоряжении ГБУ отсутствуют, для расчета чистого операционного д</w:t>
      </w:r>
      <w:r>
        <w:rPr>
          <w:sz w:val="24"/>
        </w:rPr>
        <w:t>охода (земельной ренты) использована информация о рентабельности выращивания сельскохозяйственных культур, предоставленная в ответ на запрос в Министерство сельского хозяйства Республики Башкортостан (приложение 1). Расчет чистого операционного дохода пред</w:t>
      </w:r>
      <w:r>
        <w:rPr>
          <w:sz w:val="24"/>
        </w:rPr>
        <w:t>ставлен в Приложении 2 (Папка «1. Сельскохозяйственное использование»).</w:t>
      </w:r>
    </w:p>
    <w:p w:rsidR="00E85D42" w:rsidRDefault="008113B9">
      <w:pPr>
        <w:widowControl w:val="0"/>
        <w:autoSpaceDE w:val="0"/>
        <w:ind w:firstLine="539"/>
        <w:jc w:val="both"/>
        <w:rPr>
          <w:sz w:val="24"/>
        </w:rPr>
      </w:pPr>
      <w:r>
        <w:rPr>
          <w:sz w:val="24"/>
        </w:rPr>
        <w:t>Коэффициент капитализации – величина, обратная сроку окупаемости капиталовложений в объект, с помощью которой осуществляется переход от величины текущего рентного дохода, получаемого с</w:t>
      </w:r>
      <w:r>
        <w:rPr>
          <w:sz w:val="24"/>
        </w:rPr>
        <w:t xml:space="preserve"> земельного участка к его стоимости.</w:t>
      </w:r>
    </w:p>
    <w:p w:rsidR="00E85D42" w:rsidRDefault="008113B9">
      <w:pPr>
        <w:widowControl w:val="0"/>
        <w:autoSpaceDE w:val="0"/>
        <w:ind w:firstLine="539"/>
        <w:jc w:val="both"/>
        <w:rPr>
          <w:sz w:val="24"/>
        </w:rPr>
      </w:pPr>
      <w:r>
        <w:rPr>
          <w:sz w:val="24"/>
        </w:rPr>
        <w:t>В оценочной практике принято, что коэффициент капитализации для земли должен быть равен норме доходности по альтернативным инвестициям без учета нормы возмещения капитала, так как земля не «изнашивается», то есть не тер</w:t>
      </w:r>
      <w:r>
        <w:rPr>
          <w:sz w:val="24"/>
        </w:rPr>
        <w:t>яет своих свойств со временем. Она может приносить доход и, соответственно, создавать стоимость в течение бесконечного периода времени при правильном ведении хозяйства. Отсюда коэффициент капитализации для земли полагается равным ставке дисконтирования.</w:t>
      </w:r>
    </w:p>
    <w:p w:rsidR="00E85D42" w:rsidRDefault="008113B9">
      <w:pPr>
        <w:widowControl w:val="0"/>
        <w:autoSpaceDE w:val="0"/>
        <w:ind w:firstLine="539"/>
        <w:jc w:val="both"/>
        <w:rPr>
          <w:sz w:val="24"/>
        </w:rPr>
      </w:pPr>
      <w:r>
        <w:rPr>
          <w:sz w:val="24"/>
        </w:rPr>
        <w:t xml:space="preserve">В </w:t>
      </w:r>
      <w:r>
        <w:rPr>
          <w:sz w:val="24"/>
        </w:rPr>
        <w:t>качестве ставки дисконтирования использована ставка, полученная с использованием метода кумулятивного построения;</w:t>
      </w:r>
    </w:p>
    <w:p w:rsidR="00E85D42" w:rsidRDefault="008113B9">
      <w:pPr>
        <w:widowControl w:val="0"/>
        <w:autoSpaceDE w:val="0"/>
        <w:ind w:firstLine="539"/>
        <w:jc w:val="both"/>
        <w:rPr>
          <w:sz w:val="24"/>
        </w:rPr>
      </w:pPr>
      <w:r>
        <w:rPr>
          <w:sz w:val="24"/>
        </w:rPr>
        <w:t>Формула определения ставки капитализации методом кумулятивного построения имеет вид:</w:t>
      </w:r>
    </w:p>
    <w:p w:rsidR="00E85D42" w:rsidRDefault="008113B9">
      <w:pPr>
        <w:widowControl w:val="0"/>
        <w:autoSpaceDE w:val="0"/>
        <w:ind w:firstLine="539"/>
        <w:jc w:val="both"/>
      </w:pPr>
      <w:r>
        <w:rPr>
          <w:noProof/>
          <w:sz w:val="24"/>
        </w:rPr>
        <w:drawing>
          <wp:inline distT="0" distB="0" distL="0" distR="0">
            <wp:extent cx="1111882" cy="182880"/>
            <wp:effectExtent l="0" t="0" r="0" b="7620"/>
            <wp:docPr id="138"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rcRect/>
                    <a:stretch>
                      <a:fillRect/>
                    </a:stretch>
                  </pic:blipFill>
                  <pic:spPr>
                    <a:xfrm>
                      <a:off x="0" y="0"/>
                      <a:ext cx="1111882" cy="182880"/>
                    </a:xfrm>
                    <a:prstGeom prst="rect">
                      <a:avLst/>
                    </a:prstGeom>
                    <a:noFill/>
                    <a:ln>
                      <a:noFill/>
                      <a:prstDash/>
                    </a:ln>
                  </pic:spPr>
                </pic:pic>
              </a:graphicData>
            </a:graphic>
          </wp:inline>
        </w:drawing>
      </w:r>
      <w:r>
        <w:rPr>
          <w:sz w:val="24"/>
        </w:rPr>
        <w:t>, где</w:t>
      </w:r>
    </w:p>
    <w:p w:rsidR="00E85D42" w:rsidRDefault="008113B9">
      <w:pPr>
        <w:widowControl w:val="0"/>
        <w:autoSpaceDE w:val="0"/>
        <w:ind w:firstLine="539"/>
        <w:jc w:val="both"/>
        <w:rPr>
          <w:sz w:val="24"/>
        </w:rPr>
      </w:pPr>
      <w:r>
        <w:rPr>
          <w:sz w:val="24"/>
        </w:rPr>
        <w:t xml:space="preserve">К – коэффициент капитализации (ставка дохода) для </w:t>
      </w:r>
      <w:r>
        <w:rPr>
          <w:sz w:val="24"/>
        </w:rPr>
        <w:t>земельного участка;</w:t>
      </w:r>
    </w:p>
    <w:p w:rsidR="00E85D42" w:rsidRDefault="008113B9">
      <w:pPr>
        <w:widowControl w:val="0"/>
        <w:autoSpaceDE w:val="0"/>
        <w:ind w:firstLine="539"/>
        <w:jc w:val="both"/>
      </w:pPr>
      <w:r>
        <w:rPr>
          <w:sz w:val="24"/>
        </w:rPr>
        <w:t>К</w:t>
      </w:r>
      <w:r>
        <w:rPr>
          <w:sz w:val="24"/>
          <w:vertAlign w:val="subscript"/>
        </w:rPr>
        <w:t>0</w:t>
      </w:r>
      <w:r>
        <w:rPr>
          <w:sz w:val="24"/>
        </w:rPr>
        <w:t xml:space="preserve"> – безрисковая ставка дохода на капитал;</w:t>
      </w:r>
    </w:p>
    <w:p w:rsidR="00E85D42" w:rsidRDefault="008113B9">
      <w:pPr>
        <w:widowControl w:val="0"/>
        <w:autoSpaceDE w:val="0"/>
        <w:ind w:firstLine="539"/>
        <w:jc w:val="both"/>
      </w:pPr>
      <w:r>
        <w:rPr>
          <w:sz w:val="24"/>
        </w:rPr>
        <w:t>К</w:t>
      </w:r>
      <w:r>
        <w:rPr>
          <w:sz w:val="24"/>
          <w:vertAlign w:val="subscript"/>
        </w:rPr>
        <w:t>i</w:t>
      </w:r>
      <w:r>
        <w:rPr>
          <w:sz w:val="24"/>
        </w:rPr>
        <w:t xml:space="preserve"> – премия за риск по i-му фактору риска;</w:t>
      </w:r>
    </w:p>
    <w:p w:rsidR="00E85D42" w:rsidRDefault="008113B9">
      <w:pPr>
        <w:widowControl w:val="0"/>
        <w:autoSpaceDE w:val="0"/>
        <w:ind w:firstLine="539"/>
        <w:jc w:val="both"/>
        <w:rPr>
          <w:sz w:val="24"/>
        </w:rPr>
      </w:pPr>
      <w:r>
        <w:rPr>
          <w:sz w:val="24"/>
        </w:rPr>
        <w:t>n – число факторов риска.</w:t>
      </w:r>
    </w:p>
    <w:p w:rsidR="00E85D42" w:rsidRDefault="008113B9">
      <w:pPr>
        <w:widowControl w:val="0"/>
        <w:autoSpaceDE w:val="0"/>
        <w:ind w:firstLine="539"/>
        <w:jc w:val="both"/>
      </w:pPr>
      <w:r>
        <w:rPr>
          <w:sz w:val="24"/>
        </w:rPr>
        <w:t>Безрисковой ставкой принята значение кривой бескупонной доходности государственных облигаций сроком погашения 1 год с официа</w:t>
      </w:r>
      <w:r>
        <w:rPr>
          <w:sz w:val="24"/>
        </w:rPr>
        <w:t>льного сайта Центрального Банка Российской Федерации (</w:t>
      </w:r>
      <w:hyperlink r:id="rId337" w:history="1">
        <w:r>
          <w:rPr>
            <w:sz w:val="24"/>
          </w:rPr>
          <w:t>www.cbr.ru</w:t>
        </w:r>
      </w:hyperlink>
      <w:r>
        <w:rPr>
          <w:sz w:val="24"/>
        </w:rPr>
        <w:t>).</w:t>
      </w:r>
    </w:p>
    <w:p w:rsidR="00E85D42" w:rsidRDefault="008113B9">
      <w:pPr>
        <w:widowControl w:val="0"/>
        <w:autoSpaceDE w:val="0"/>
        <w:ind w:firstLine="539"/>
        <w:jc w:val="both"/>
        <w:rPr>
          <w:sz w:val="24"/>
        </w:rPr>
      </w:pPr>
      <w:r>
        <w:rPr>
          <w:sz w:val="24"/>
        </w:rPr>
        <w:t>Наиболее близкое значение к дате оценки 01.01.2019г. 7,48% по состоянию на 28.12.2018 г.</w:t>
      </w:r>
    </w:p>
    <w:p w:rsidR="00E85D42" w:rsidRDefault="008113B9">
      <w:pPr>
        <w:widowControl w:val="0"/>
        <w:autoSpaceDE w:val="0"/>
        <w:ind w:firstLine="539"/>
        <w:jc w:val="both"/>
        <w:rPr>
          <w:sz w:val="24"/>
        </w:rPr>
      </w:pPr>
      <w:r>
        <w:rPr>
          <w:sz w:val="24"/>
        </w:rPr>
        <w:t>Риски вложения в оцениваемый объект рассчитаны методом взвешенной</w:t>
      </w:r>
      <w:r>
        <w:rPr>
          <w:sz w:val="24"/>
        </w:rPr>
        <w:t xml:space="preserve"> оценки и представлены ниже.</w:t>
      </w:r>
    </w:p>
    <w:p w:rsidR="00E85D42" w:rsidRDefault="00E85D42">
      <w:pPr>
        <w:widowControl w:val="0"/>
        <w:autoSpaceDE w:val="0"/>
        <w:ind w:firstLine="539"/>
        <w:jc w:val="both"/>
        <w:rPr>
          <w:sz w:val="24"/>
        </w:rPr>
      </w:pPr>
    </w:p>
    <w:p w:rsidR="00E85D42" w:rsidRDefault="008113B9">
      <w:pPr>
        <w:widowControl w:val="0"/>
        <w:autoSpaceDE w:val="0"/>
        <w:ind w:firstLine="539"/>
        <w:jc w:val="both"/>
        <w:rPr>
          <w:sz w:val="24"/>
        </w:rPr>
      </w:pPr>
      <w:bookmarkStart w:id="148" w:name="_Toc468289550"/>
      <w:r>
        <w:rPr>
          <w:sz w:val="24"/>
        </w:rPr>
        <w:t>Расчет рисков вложения в земли сельскохозяйственного назначения</w:t>
      </w:r>
      <w:bookmarkEnd w:id="148"/>
      <w:r>
        <w:rPr>
          <w:sz w:val="24"/>
        </w:rPr>
        <w:t xml:space="preserve"> </w:t>
      </w:r>
    </w:p>
    <w:p w:rsidR="00E85D42" w:rsidRDefault="008113B9">
      <w:pPr>
        <w:widowControl w:val="0"/>
        <w:autoSpaceDE w:val="0"/>
        <w:ind w:firstLine="539"/>
        <w:jc w:val="right"/>
        <w:rPr>
          <w:sz w:val="24"/>
        </w:rPr>
      </w:pPr>
      <w:r>
        <w:rPr>
          <w:sz w:val="24"/>
        </w:rPr>
        <w:t>Таблица 3.6.1.1</w:t>
      </w:r>
    </w:p>
    <w:tbl>
      <w:tblPr>
        <w:tblW w:w="5000" w:type="pct"/>
        <w:tblCellMar>
          <w:left w:w="10" w:type="dxa"/>
          <w:right w:w="10" w:type="dxa"/>
        </w:tblCellMar>
        <w:tblLook w:val="04A0" w:firstRow="1" w:lastRow="0" w:firstColumn="1" w:lastColumn="0" w:noHBand="0" w:noVBand="1"/>
      </w:tblPr>
      <w:tblGrid>
        <w:gridCol w:w="980"/>
        <w:gridCol w:w="2501"/>
        <w:gridCol w:w="2622"/>
        <w:gridCol w:w="566"/>
        <w:gridCol w:w="416"/>
        <w:gridCol w:w="316"/>
        <w:gridCol w:w="316"/>
        <w:gridCol w:w="316"/>
        <w:gridCol w:w="316"/>
        <w:gridCol w:w="316"/>
        <w:gridCol w:w="316"/>
        <w:gridCol w:w="317"/>
        <w:gridCol w:w="416"/>
      </w:tblGrid>
      <w:tr w:rsidR="00E85D42">
        <w:tblPrEx>
          <w:tblCellMar>
            <w:top w:w="0" w:type="dxa"/>
            <w:bottom w:w="0" w:type="dxa"/>
          </w:tblCellMar>
        </w:tblPrEx>
        <w:trPr>
          <w:trHeight w:val="20"/>
          <w:tblHeader/>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 фактора</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center"/>
              <w:rPr>
                <w:b/>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Тип риска \ Ранг риска</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2</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3</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4</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5</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6</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7</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8</w:t>
            </w: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9</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szCs w:val="24"/>
              </w:rPr>
            </w:pPr>
            <w:r>
              <w:rPr>
                <w:b/>
                <w:szCs w:val="24"/>
              </w:rPr>
              <w:t>10</w:t>
            </w:r>
          </w:p>
        </w:tc>
      </w:tr>
      <w:tr w:rsidR="00E85D42">
        <w:tblPrEx>
          <w:tblCellMar>
            <w:top w:w="0" w:type="dxa"/>
            <w:bottom w:w="0" w:type="dxa"/>
          </w:tblCellMar>
        </w:tblPrEx>
        <w:trPr>
          <w:trHeight w:val="20"/>
        </w:trPr>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center"/>
              <w:rPr>
                <w:szCs w:val="24"/>
              </w:rPr>
            </w:pPr>
          </w:p>
        </w:tc>
        <w:tc>
          <w:tcPr>
            <w:tcW w:w="623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Cs w:val="24"/>
              </w:rPr>
            </w:pPr>
            <w:r>
              <w:rPr>
                <w:szCs w:val="24"/>
              </w:rPr>
              <w:t>Риск, связанный с активами</w:t>
            </w: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Политика экспроприации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2</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 xml:space="preserve">Политика </w:t>
            </w:r>
            <w:r>
              <w:rPr>
                <w:szCs w:val="24"/>
              </w:rPr>
              <w:t>национализации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3</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Возможность местного финансирования</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4</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Защита патентов, лицензий, контрактов</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Риск, связанный с социально-экономической ситуацией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5</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Политическая стабильность</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6</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 xml:space="preserve">Отношение к </w:t>
            </w:r>
            <w:r>
              <w:rPr>
                <w:szCs w:val="24"/>
              </w:rPr>
              <w:t>иностранным инвесторам</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7</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Положение о праве собственности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8</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Общая правовая ситуация</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9</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Участие государства в управлении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Настроение против частного сектора</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11</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 xml:space="preserve">Наличие и стоимость местной </w:t>
            </w:r>
            <w:r>
              <w:rPr>
                <w:szCs w:val="24"/>
              </w:rPr>
              <w:t>рабочей силы</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12</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Отношение с сопредельными государствами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13</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Влияние организованной преступности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14</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Привилегии для национальных конкурентов</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center"/>
              <w:rPr>
                <w:szCs w:val="24"/>
              </w:rPr>
            </w:pPr>
          </w:p>
        </w:tc>
        <w:tc>
          <w:tcPr>
            <w:tcW w:w="623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Cs w:val="24"/>
              </w:rPr>
            </w:pPr>
            <w:r>
              <w:rPr>
                <w:szCs w:val="24"/>
              </w:rPr>
              <w:t>Финансовые риски</w:t>
            </w: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15</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Конвертируемость национальной валюты</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17</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Регулирование цен</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18</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Размер экономики / емкость рынка</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19</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Тенденции развития экономики (безработица)</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20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Задолженность</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21</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Ставка налога</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22</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Уровень инфляции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3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jc w:val="center"/>
              <w:rPr>
                <w:szCs w:val="24"/>
              </w:rPr>
            </w:pPr>
          </w:p>
        </w:tc>
        <w:tc>
          <w:tcPr>
            <w:tcW w:w="6233"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szCs w:val="24"/>
              </w:rPr>
            </w:pPr>
            <w:r>
              <w:rPr>
                <w:szCs w:val="24"/>
              </w:rPr>
              <w:t>Сельскохозяйственные риски*</w:t>
            </w: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23</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Природные факторы (засуха, заморозки, вымерзание, выпревание, градобитие, пыльные, песчаные бури, землетрясение, лавина, сель, половодье, переувлажнение почвы, пожары)</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24</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 xml:space="preserve">Болезни и вредители(полное внезапное </w:t>
            </w:r>
            <w:r>
              <w:rPr>
                <w:szCs w:val="24"/>
              </w:rPr>
              <w:t>уничтожение посевов карантинными видами)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25</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Уничтожение или повреждение дикими животными, перелетными птицами, грызунами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26</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 xml:space="preserve">Противоправные действия третьих лиц (уничтожение или повреждение урожая, хищение с поля, незаконный вылов </w:t>
            </w:r>
            <w:r>
              <w:rPr>
                <w:szCs w:val="24"/>
              </w:rPr>
              <w:t>рыбы)</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Количество наблюдений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19</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6</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Взвешенный итог</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19</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12</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0</w:t>
            </w: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Сумма</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31</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Количество факторов</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25</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r w:rsidR="00E85D42">
        <w:tblPrEx>
          <w:tblCellMar>
            <w:top w:w="0" w:type="dxa"/>
            <w:bottom w:w="0" w:type="dxa"/>
          </w:tblCellMar>
        </w:tblPrEx>
        <w:trPr>
          <w:trHeight w:val="20"/>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Средневзвешенное значение</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rPr>
                <w:szCs w:val="24"/>
              </w:rPr>
            </w:pPr>
            <w:r>
              <w:rPr>
                <w:szCs w:val="24"/>
              </w:rPr>
              <w:t>1,24</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rPr>
                <w:szCs w:val="24"/>
              </w:rPr>
            </w:pPr>
          </w:p>
        </w:tc>
      </w:tr>
    </w:tbl>
    <w:p w:rsidR="00E85D42" w:rsidRDefault="008113B9">
      <w:pPr>
        <w:widowControl w:val="0"/>
        <w:autoSpaceDE w:val="0"/>
        <w:ind w:firstLine="539"/>
        <w:jc w:val="both"/>
        <w:rPr>
          <w:sz w:val="24"/>
        </w:rPr>
      </w:pPr>
      <w:r>
        <w:rPr>
          <w:sz w:val="24"/>
        </w:rPr>
        <w:t xml:space="preserve">Таким образом, коэффициент капитализации будет </w:t>
      </w:r>
      <w:r>
        <w:rPr>
          <w:sz w:val="24"/>
        </w:rPr>
        <w:t>равен: 7,48% + 1,24% = 8,72%.</w:t>
      </w:r>
    </w:p>
    <w:p w:rsidR="00E85D42" w:rsidRDefault="008113B9">
      <w:pPr>
        <w:widowControl w:val="0"/>
        <w:autoSpaceDE w:val="0"/>
        <w:ind w:firstLine="539"/>
        <w:jc w:val="both"/>
      </w:pPr>
      <w:r>
        <w:rPr>
          <w:sz w:val="24"/>
        </w:rPr>
        <w:t>Расчет удельного показателя кадастровой стоимости вышеуказанных земельных участков представлен в приложении 2.</w:t>
      </w:r>
      <w:r>
        <w:rPr>
          <w:rFonts w:ascii="Calibri" w:hAnsi="Calibri" w:cs="Calibri"/>
          <w:color w:val="333333"/>
          <w:sz w:val="21"/>
          <w:szCs w:val="21"/>
          <w:shd w:val="clear" w:color="auto" w:fill="FFFFFF"/>
        </w:rPr>
        <w:t xml:space="preserve"> </w:t>
      </w:r>
      <w:r>
        <w:rPr>
          <w:sz w:val="24"/>
        </w:rPr>
        <w:t>(Папка «1. Сельскохозяйственное использование»).</w:t>
      </w:r>
    </w:p>
    <w:p w:rsidR="00E85D42" w:rsidRDefault="00E85D42">
      <w:pPr>
        <w:widowControl w:val="0"/>
        <w:autoSpaceDE w:val="0"/>
        <w:ind w:firstLine="539"/>
        <w:jc w:val="both"/>
        <w:rPr>
          <w:sz w:val="24"/>
        </w:rPr>
      </w:pPr>
    </w:p>
    <w:p w:rsidR="00E85D42" w:rsidRDefault="008113B9">
      <w:pPr>
        <w:widowControl w:val="0"/>
        <w:autoSpaceDE w:val="0"/>
        <w:ind w:firstLine="539"/>
        <w:jc w:val="both"/>
      </w:pPr>
      <w:r>
        <w:rPr>
          <w:i/>
          <w:sz w:val="24"/>
        </w:rPr>
        <w:t>Определение кадастровой стоимости земельных участков с видами исп</w:t>
      </w:r>
      <w:r>
        <w:rPr>
          <w:i/>
          <w:sz w:val="24"/>
        </w:rPr>
        <w:t>ользования 01:130,01:131 в соответствии с п.п. 9.2.2.1.9.1. Указаний, произведено методом капитализации земельной ренты, рассчитываемой как разность между валовым доходом и затратами на разведение рыбы.</w:t>
      </w:r>
    </w:p>
    <w:p w:rsidR="00E85D42" w:rsidRDefault="008113B9">
      <w:pPr>
        <w:ind w:firstLine="601"/>
        <w:jc w:val="both"/>
        <w:rPr>
          <w:color w:val="000000"/>
          <w:sz w:val="24"/>
          <w:szCs w:val="24"/>
        </w:rPr>
      </w:pPr>
      <w:r>
        <w:rPr>
          <w:color w:val="000000"/>
          <w:sz w:val="24"/>
          <w:szCs w:val="24"/>
        </w:rPr>
        <w:t>Сбор информации о количественных и качественных харак</w:t>
      </w:r>
      <w:r>
        <w:rPr>
          <w:color w:val="000000"/>
          <w:sz w:val="24"/>
          <w:szCs w:val="24"/>
        </w:rPr>
        <w:t>теристиках земельных участков (объектов оценки), недостающей для определения их рыночной стоимости осуществлялся из следующих источников:</w:t>
      </w:r>
    </w:p>
    <w:p w:rsidR="00E85D42" w:rsidRDefault="008113B9">
      <w:pPr>
        <w:ind w:firstLine="601"/>
        <w:jc w:val="both"/>
      </w:pPr>
      <w:r>
        <w:rPr>
          <w:sz w:val="24"/>
          <w:szCs w:val="24"/>
        </w:rPr>
        <w:t xml:space="preserve">Число дней в году со среднесуточной температурой воздуха 15 градусов С и выше, (см. Приложение 2 «Рыбоводство»). </w:t>
      </w:r>
      <w:r>
        <w:rPr>
          <w:sz w:val="24"/>
          <w:szCs w:val="24"/>
        </w:rPr>
        <w:t>(Атлас Республики Башкортостан. –  Уфа: ГУП РБ «Башкирское издательство «Китап», 2005г</w:t>
      </w:r>
      <w:r>
        <w:rPr>
          <w:color w:val="000000"/>
          <w:sz w:val="24"/>
          <w:szCs w:val="24"/>
        </w:rPr>
        <w:t>. 419 с.);</w:t>
      </w:r>
    </w:p>
    <w:p w:rsidR="00E85D42" w:rsidRDefault="008113B9">
      <w:pPr>
        <w:ind w:firstLine="601"/>
        <w:jc w:val="both"/>
      </w:pPr>
      <w:r>
        <w:rPr>
          <w:sz w:val="24"/>
          <w:szCs w:val="24"/>
        </w:rPr>
        <w:t>Агроклиматическое зонирование, Республика Башкортостан, (см. Приложение 2 «Рыбоводство»). (Справочник агроклиматического оценочного зонирования субъектов Росси</w:t>
      </w:r>
      <w:r>
        <w:rPr>
          <w:sz w:val="24"/>
          <w:szCs w:val="24"/>
        </w:rPr>
        <w:t>йской Федерации</w:t>
      </w:r>
      <w:r>
        <w:rPr>
          <w:color w:val="000000"/>
          <w:sz w:val="24"/>
          <w:szCs w:val="24"/>
        </w:rPr>
        <w:t xml:space="preserve">. Учебно-практическое пособие / Под ред. С.И. Носова, М.Маросейка, 2010. - 208 с.) </w:t>
      </w:r>
    </w:p>
    <w:p w:rsidR="00E85D42" w:rsidRDefault="008113B9">
      <w:pPr>
        <w:ind w:firstLine="601"/>
        <w:jc w:val="both"/>
      </w:pPr>
      <w:r>
        <w:rPr>
          <w:color w:val="000000"/>
          <w:sz w:val="24"/>
          <w:szCs w:val="24"/>
        </w:rPr>
        <w:t xml:space="preserve">Используя перечисленные источники информации, уточнялось местоположение объектов оценки путем определения их принадлежности к зонам естественной </w:t>
      </w:r>
      <w:r>
        <w:rPr>
          <w:sz w:val="24"/>
          <w:szCs w:val="24"/>
        </w:rPr>
        <w:t>рыбопродукти</w:t>
      </w:r>
      <w:r>
        <w:rPr>
          <w:sz w:val="24"/>
          <w:szCs w:val="24"/>
        </w:rPr>
        <w:t>вности по Российской Федерации.</w:t>
      </w:r>
    </w:p>
    <w:p w:rsidR="00E85D42" w:rsidRDefault="008113B9">
      <w:pPr>
        <w:ind w:firstLine="601"/>
        <w:jc w:val="both"/>
        <w:rPr>
          <w:sz w:val="24"/>
          <w:szCs w:val="24"/>
        </w:rPr>
      </w:pPr>
      <w:r>
        <w:rPr>
          <w:sz w:val="24"/>
          <w:szCs w:val="24"/>
        </w:rPr>
        <w:t>Описание объектов оценки и результаты уточнения местоположения земельных участков по зонам естественной рыбопродуктивности по Российской Федерации представлены в таблице (см. Приложение 2 «Рыбоводство»).</w:t>
      </w:r>
    </w:p>
    <w:p w:rsidR="00E85D42" w:rsidRDefault="008113B9">
      <w:pPr>
        <w:ind w:firstLine="601"/>
        <w:jc w:val="both"/>
        <w:rPr>
          <w:sz w:val="24"/>
          <w:szCs w:val="24"/>
        </w:rPr>
      </w:pPr>
      <w:r>
        <w:rPr>
          <w:sz w:val="24"/>
          <w:szCs w:val="24"/>
        </w:rPr>
        <w:t>На основании анализа</w:t>
      </w:r>
      <w:r>
        <w:rPr>
          <w:sz w:val="24"/>
          <w:szCs w:val="24"/>
        </w:rPr>
        <w:t xml:space="preserve"> рынка недвижимости предложения к продаже прудов для рыбоводства в Республике Башкортостан не выявлены. В связи с изложенным применение методов сравнительного подхода не представляется возможным.</w:t>
      </w:r>
    </w:p>
    <w:p w:rsidR="00E85D42" w:rsidRDefault="008113B9">
      <w:pPr>
        <w:ind w:firstLine="567"/>
        <w:jc w:val="both"/>
        <w:rPr>
          <w:sz w:val="24"/>
          <w:szCs w:val="24"/>
        </w:rPr>
      </w:pPr>
      <w:r>
        <w:rPr>
          <w:sz w:val="24"/>
          <w:szCs w:val="24"/>
        </w:rPr>
        <w:t>Согласно п.9.2.2.1.9.1 Указаний расчет кадастровой стоимости</w:t>
      </w:r>
      <w:r>
        <w:rPr>
          <w:sz w:val="24"/>
          <w:szCs w:val="24"/>
        </w:rPr>
        <w:t xml:space="preserve"> участков, занятых объектами рыбного хозяйства целесообразно использовать метод доходного подхода, а именно – метод капитализации земельной ренты, основанный на определении дохода от осуществления предпринимательской деятельности на земельном участке, и оп</w:t>
      </w:r>
      <w:r>
        <w:rPr>
          <w:sz w:val="24"/>
          <w:szCs w:val="24"/>
        </w:rPr>
        <w:t>ределении дохода, приходящегося на земельный участок.</w:t>
      </w:r>
    </w:p>
    <w:p w:rsidR="00E85D42" w:rsidRDefault="008113B9">
      <w:pPr>
        <w:ind w:firstLine="567"/>
        <w:jc w:val="both"/>
        <w:rPr>
          <w:sz w:val="24"/>
          <w:szCs w:val="24"/>
        </w:rPr>
      </w:pPr>
      <w:r>
        <w:rPr>
          <w:sz w:val="24"/>
          <w:szCs w:val="24"/>
        </w:rPr>
        <w:t>В связи с тем фактом, что оцениваемый земельный участок является одним из существенных факторов стоимости бизнеса, в целях настоящей оценки наиболее достоверным методом оценки является метод капитализац</w:t>
      </w:r>
      <w:r>
        <w:rPr>
          <w:sz w:val="24"/>
          <w:szCs w:val="24"/>
        </w:rPr>
        <w:t>ии земельной ренты.</w:t>
      </w:r>
      <w:r>
        <w:rPr>
          <w:sz w:val="24"/>
          <w:szCs w:val="24"/>
        </w:rPr>
        <w:br/>
      </w:r>
      <w:r>
        <w:rPr>
          <w:sz w:val="24"/>
          <w:szCs w:val="24"/>
        </w:rPr>
        <w:t>Алгоритм данного метода в отношении земельного участка для рыбоводства представлен ниже:</w:t>
      </w:r>
    </w:p>
    <w:p w:rsidR="00E85D42" w:rsidRDefault="008113B9">
      <w:pPr>
        <w:ind w:firstLine="567"/>
        <w:jc w:val="both"/>
        <w:rPr>
          <w:sz w:val="24"/>
          <w:szCs w:val="24"/>
        </w:rPr>
      </w:pPr>
      <w:r>
        <w:rPr>
          <w:sz w:val="24"/>
          <w:szCs w:val="24"/>
        </w:rPr>
        <w:t>1. Определение валового дохода бизнеса прудового хозяйства;</w:t>
      </w:r>
    </w:p>
    <w:p w:rsidR="00E85D42" w:rsidRDefault="008113B9">
      <w:pPr>
        <w:ind w:firstLine="567"/>
        <w:jc w:val="both"/>
        <w:rPr>
          <w:sz w:val="24"/>
          <w:szCs w:val="24"/>
        </w:rPr>
      </w:pPr>
      <w:r>
        <w:rPr>
          <w:sz w:val="24"/>
          <w:szCs w:val="24"/>
        </w:rPr>
        <w:t>2. Расчет доли дохода бизнеса, приходящегося на земельный участок - объект оценки.</w:t>
      </w:r>
    </w:p>
    <w:p w:rsidR="00E85D42" w:rsidRDefault="008113B9">
      <w:pPr>
        <w:ind w:firstLine="567"/>
        <w:jc w:val="both"/>
        <w:rPr>
          <w:sz w:val="24"/>
          <w:szCs w:val="24"/>
        </w:rPr>
      </w:pPr>
      <w:r>
        <w:rPr>
          <w:sz w:val="24"/>
          <w:szCs w:val="24"/>
        </w:rPr>
        <w:t>4. О</w:t>
      </w:r>
      <w:r>
        <w:rPr>
          <w:sz w:val="24"/>
          <w:szCs w:val="24"/>
        </w:rPr>
        <w:t>пределение коэффициента капитализации для земельного участка - объекта оценки.</w:t>
      </w:r>
    </w:p>
    <w:p w:rsidR="00E85D42" w:rsidRDefault="008113B9">
      <w:pPr>
        <w:ind w:firstLine="567"/>
        <w:jc w:val="both"/>
        <w:rPr>
          <w:sz w:val="24"/>
          <w:szCs w:val="24"/>
        </w:rPr>
      </w:pPr>
      <w:r>
        <w:rPr>
          <w:sz w:val="24"/>
          <w:szCs w:val="24"/>
        </w:rPr>
        <w:t>5. Расчет стоимости земельного участка - объект оценки - посредством капитализации доли дохода бизнеса, приходящегося на земельный участок.</w:t>
      </w:r>
    </w:p>
    <w:p w:rsidR="00E85D42" w:rsidRDefault="008113B9">
      <w:pPr>
        <w:ind w:firstLine="567"/>
        <w:jc w:val="both"/>
      </w:pPr>
      <w:r>
        <w:rPr>
          <w:sz w:val="24"/>
          <w:szCs w:val="24"/>
        </w:rPr>
        <w:t>При реализации метода капитализации з</w:t>
      </w:r>
      <w:r>
        <w:rPr>
          <w:sz w:val="24"/>
          <w:szCs w:val="24"/>
        </w:rPr>
        <w:t>емельной ренты в связи с особенностями проводимой оценки в качестве основных допущений принимаются следующие:</w:t>
      </w:r>
    </w:p>
    <w:p w:rsidR="00E85D42" w:rsidRDefault="008113B9">
      <w:pPr>
        <w:ind w:firstLine="357"/>
        <w:jc w:val="both"/>
        <w:rPr>
          <w:sz w:val="24"/>
          <w:szCs w:val="24"/>
        </w:rPr>
      </w:pPr>
      <w:r>
        <w:rPr>
          <w:sz w:val="24"/>
          <w:szCs w:val="24"/>
        </w:rPr>
        <w:t>1) в случае недостаточности предоставленной Оценщику информации о параметрах ведения указанного бизнеса, расположенной на оцениваемом земельном уч</w:t>
      </w:r>
      <w:r>
        <w:rPr>
          <w:sz w:val="24"/>
          <w:szCs w:val="24"/>
        </w:rPr>
        <w:t>астке, обусловленной вышеуказанными обстоятельствами проведения настоящей оценки, или представленные параметры существенно отличаются от среднеотраслевых, оценка проводится на основании общедоступной рыночной информации, в том числе макроэкономического и о</w:t>
      </w:r>
      <w:r>
        <w:rPr>
          <w:sz w:val="24"/>
          <w:szCs w:val="24"/>
        </w:rPr>
        <w:t>траслевого характера (по отрасли, к которой относится рассматриваемая сфера деятельности объекта-бизнеса, существенным фактором которого является объект оценки), в частности, при отсутствии/недостаточности фактической информации на дату оценки об уровне:</w:t>
      </w:r>
    </w:p>
    <w:p w:rsidR="00E85D42" w:rsidRDefault="008113B9">
      <w:pPr>
        <w:ind w:firstLine="357"/>
        <w:jc w:val="both"/>
        <w:rPr>
          <w:sz w:val="24"/>
          <w:szCs w:val="24"/>
        </w:rPr>
      </w:pPr>
      <w:r>
        <w:rPr>
          <w:sz w:val="24"/>
          <w:szCs w:val="24"/>
        </w:rPr>
        <w:t>-</w:t>
      </w:r>
      <w:r>
        <w:rPr>
          <w:sz w:val="24"/>
          <w:szCs w:val="24"/>
        </w:rPr>
        <w:t xml:space="preserve"> выручки;</w:t>
      </w:r>
    </w:p>
    <w:p w:rsidR="00E85D42" w:rsidRDefault="008113B9">
      <w:pPr>
        <w:ind w:firstLine="357"/>
        <w:jc w:val="both"/>
        <w:rPr>
          <w:sz w:val="24"/>
          <w:szCs w:val="24"/>
        </w:rPr>
      </w:pPr>
      <w:r>
        <w:rPr>
          <w:sz w:val="24"/>
          <w:szCs w:val="24"/>
        </w:rPr>
        <w:t>- затрат на ведение бизнеса по статьям затрат;</w:t>
      </w:r>
    </w:p>
    <w:p w:rsidR="00E85D42" w:rsidRDefault="008113B9">
      <w:pPr>
        <w:ind w:firstLine="357"/>
        <w:jc w:val="both"/>
      </w:pPr>
      <w:r>
        <w:rPr>
          <w:sz w:val="24"/>
          <w:szCs w:val="24"/>
        </w:rPr>
        <w:t>2) при непредставлении Заказчиком и третьими лицами информации о фактическом и прогнозном уровне рентабельности продаж (чистая прибыль/выручка) бизнеса, или если предоставленные показатели существенн</w:t>
      </w:r>
      <w:r>
        <w:rPr>
          <w:sz w:val="24"/>
          <w:szCs w:val="24"/>
        </w:rPr>
        <w:t>о отличаются от среднеотраслевых параметров (не попадают в диапазон среднеотраслевых значений параметра), данный показатель принимается на среднеотраслевом уровне;</w:t>
      </w:r>
    </w:p>
    <w:p w:rsidR="00E85D42" w:rsidRDefault="008113B9">
      <w:pPr>
        <w:pStyle w:val="43"/>
        <w:ind w:firstLine="567"/>
        <w:jc w:val="both"/>
        <w:rPr>
          <w:rFonts w:ascii="Times New Roman CYR" w:hAnsi="Times New Roman CYR"/>
          <w:color w:val="000000"/>
          <w:sz w:val="24"/>
          <w:szCs w:val="24"/>
        </w:rPr>
      </w:pPr>
      <w:r>
        <w:rPr>
          <w:rFonts w:ascii="Times New Roman CYR" w:hAnsi="Times New Roman CYR"/>
          <w:color w:val="000000"/>
          <w:sz w:val="24"/>
          <w:szCs w:val="24"/>
        </w:rPr>
        <w:t xml:space="preserve">В нижеприведенных подразделах представлен расчет рыночной стоимости объектов оценки методом </w:t>
      </w:r>
      <w:r>
        <w:rPr>
          <w:rFonts w:ascii="Times New Roman CYR" w:hAnsi="Times New Roman CYR"/>
          <w:color w:val="000000"/>
          <w:sz w:val="24"/>
          <w:szCs w:val="24"/>
        </w:rPr>
        <w:t xml:space="preserve">капитализации земельной ренты для III и II зон рыбопродуктивности. </w:t>
      </w:r>
    </w:p>
    <w:p w:rsidR="00E85D42" w:rsidRDefault="008113B9">
      <w:pPr>
        <w:pStyle w:val="43"/>
        <w:ind w:firstLine="567"/>
        <w:jc w:val="both"/>
        <w:rPr>
          <w:i/>
          <w:sz w:val="24"/>
          <w:szCs w:val="24"/>
        </w:rPr>
      </w:pPr>
      <w:r>
        <w:rPr>
          <w:i/>
          <w:sz w:val="24"/>
          <w:szCs w:val="24"/>
        </w:rPr>
        <w:t>Определение величины дохода бизнеса</w:t>
      </w:r>
    </w:p>
    <w:p w:rsidR="00E85D42" w:rsidRDefault="008113B9">
      <w:pPr>
        <w:pStyle w:val="56"/>
        <w:ind w:left="0" w:firstLine="567"/>
        <w:jc w:val="both"/>
        <w:rPr>
          <w:sz w:val="24"/>
          <w:szCs w:val="24"/>
        </w:rPr>
      </w:pPr>
      <w:r>
        <w:rPr>
          <w:sz w:val="24"/>
          <w:szCs w:val="24"/>
        </w:rPr>
        <w:t xml:space="preserve">Определение величины доходов от наиболее эффективного использования земельного участка в качестве пруда для рыбоводства, проведем, опираясь на сведения </w:t>
      </w:r>
      <w:r>
        <w:rPr>
          <w:sz w:val="24"/>
          <w:szCs w:val="24"/>
        </w:rPr>
        <w:t xml:space="preserve">среднеотраслевой рыбопродуктивности для зон рыбоводства. </w:t>
      </w:r>
    </w:p>
    <w:p w:rsidR="00E85D42" w:rsidRDefault="008113B9">
      <w:pPr>
        <w:pStyle w:val="56"/>
        <w:ind w:left="0" w:firstLine="567"/>
        <w:jc w:val="both"/>
        <w:rPr>
          <w:sz w:val="24"/>
          <w:szCs w:val="24"/>
        </w:rPr>
      </w:pPr>
      <w:r>
        <w:rPr>
          <w:sz w:val="24"/>
          <w:szCs w:val="24"/>
        </w:rPr>
        <w:t>Среднеотраслевая рыбопродуктивность прудовых хозяйств для третьей зоны рыбоводства составляет 980 кг/Га, для второй зоны 900 кг/Га (см. Приложение 2 «Рыбоводство»). Площадь водоема составляет 10 000</w:t>
      </w:r>
      <w:r>
        <w:rPr>
          <w:sz w:val="24"/>
          <w:szCs w:val="24"/>
        </w:rPr>
        <w:t xml:space="preserve"> кв.м. или 1,00 Га. Следовательно, рыбопродуктивность пруда, являющегося объектом оценки может составить:</w:t>
      </w:r>
    </w:p>
    <w:p w:rsidR="00E85D42" w:rsidRDefault="008113B9">
      <w:pPr>
        <w:pStyle w:val="56"/>
        <w:ind w:firstLine="567"/>
        <w:jc w:val="both"/>
      </w:pPr>
      <w:r>
        <w:rPr>
          <w:rFonts w:ascii="Times New Roman CYR" w:hAnsi="Times New Roman CYR"/>
          <w:color w:val="000000"/>
          <w:sz w:val="24"/>
          <w:szCs w:val="24"/>
        </w:rPr>
        <w:t>для III зоны репродуктивности -</w:t>
      </w:r>
      <w:r>
        <w:rPr>
          <w:sz w:val="24"/>
          <w:szCs w:val="24"/>
        </w:rPr>
        <w:t xml:space="preserve"> 980х1,00 = 980 кг;</w:t>
      </w:r>
    </w:p>
    <w:p w:rsidR="00E85D42" w:rsidRDefault="008113B9">
      <w:pPr>
        <w:pStyle w:val="56"/>
        <w:ind w:firstLine="567"/>
        <w:jc w:val="both"/>
      </w:pPr>
      <w:r>
        <w:rPr>
          <w:rFonts w:ascii="Times New Roman CYR" w:hAnsi="Times New Roman CYR"/>
          <w:sz w:val="24"/>
          <w:szCs w:val="24"/>
        </w:rPr>
        <w:t>для II зоны рыбопродуктивности -</w:t>
      </w:r>
      <w:r>
        <w:rPr>
          <w:sz w:val="24"/>
          <w:szCs w:val="24"/>
        </w:rPr>
        <w:t xml:space="preserve"> 900х1,00 = 900 кг;</w:t>
      </w:r>
    </w:p>
    <w:p w:rsidR="00E85D42" w:rsidRDefault="008113B9">
      <w:pPr>
        <w:pStyle w:val="56"/>
        <w:ind w:left="0" w:firstLine="567"/>
        <w:jc w:val="both"/>
        <w:rPr>
          <w:sz w:val="24"/>
          <w:szCs w:val="24"/>
        </w:rPr>
      </w:pPr>
      <w:r>
        <w:rPr>
          <w:sz w:val="24"/>
          <w:szCs w:val="24"/>
        </w:rPr>
        <w:t xml:space="preserve">На основании анализа, стоимость живого карпа </w:t>
      </w:r>
      <w:r>
        <w:rPr>
          <w:sz w:val="24"/>
          <w:szCs w:val="24"/>
        </w:rPr>
        <w:t>составила 182,64 руб./кг. (см. Приложение 2 «Рыбоводство»), таким образом, получаемая ежегодная выручка составит:</w:t>
      </w:r>
    </w:p>
    <w:p w:rsidR="00E85D42" w:rsidRDefault="008113B9">
      <w:pPr>
        <w:jc w:val="both"/>
      </w:pPr>
      <w:r>
        <w:rPr>
          <w:rFonts w:ascii="Times New Roman CYR" w:hAnsi="Times New Roman CYR"/>
          <w:color w:val="000000"/>
          <w:sz w:val="24"/>
          <w:szCs w:val="24"/>
        </w:rPr>
        <w:t>для III зоны рыбопродуктивности -</w:t>
      </w:r>
      <w:r>
        <w:rPr>
          <w:sz w:val="24"/>
          <w:szCs w:val="24"/>
        </w:rPr>
        <w:t xml:space="preserve"> 980х 182,64 = 178 987,20 руб;</w:t>
      </w:r>
    </w:p>
    <w:p w:rsidR="00E85D42" w:rsidRDefault="008113B9">
      <w:pPr>
        <w:jc w:val="both"/>
        <w:rPr>
          <w:sz w:val="24"/>
          <w:szCs w:val="24"/>
        </w:rPr>
      </w:pPr>
      <w:r>
        <w:rPr>
          <w:sz w:val="24"/>
          <w:szCs w:val="24"/>
        </w:rPr>
        <w:t>для II зоны рыбопродуктивности - 900х 182,64 = 164 376,00 руб;</w:t>
      </w:r>
    </w:p>
    <w:p w:rsidR="00E85D42" w:rsidRDefault="008113B9">
      <w:pPr>
        <w:pStyle w:val="56"/>
        <w:ind w:firstLine="567"/>
        <w:jc w:val="both"/>
        <w:rPr>
          <w:i/>
          <w:sz w:val="24"/>
          <w:szCs w:val="24"/>
        </w:rPr>
      </w:pPr>
      <w:r>
        <w:rPr>
          <w:i/>
          <w:sz w:val="24"/>
          <w:szCs w:val="24"/>
        </w:rPr>
        <w:t>Расчет доли дох</w:t>
      </w:r>
      <w:r>
        <w:rPr>
          <w:i/>
          <w:sz w:val="24"/>
          <w:szCs w:val="24"/>
        </w:rPr>
        <w:t>ода бизнеса, приходящегося на земельный участок</w:t>
      </w:r>
    </w:p>
    <w:p w:rsidR="00E85D42" w:rsidRDefault="008113B9">
      <w:pPr>
        <w:pStyle w:val="56"/>
        <w:ind w:firstLine="567"/>
        <w:jc w:val="both"/>
        <w:rPr>
          <w:sz w:val="24"/>
          <w:szCs w:val="24"/>
        </w:rPr>
      </w:pPr>
      <w:r>
        <w:rPr>
          <w:sz w:val="24"/>
          <w:szCs w:val="24"/>
        </w:rPr>
        <w:t>Рентабельность активов и товаров по отрасли рыболовство, рыбоводство составляет 22,7%  (см. Приложение 2 «Рыбоводство»).</w:t>
      </w:r>
    </w:p>
    <w:p w:rsidR="00E85D42" w:rsidRDefault="008113B9">
      <w:pPr>
        <w:pStyle w:val="56"/>
        <w:ind w:firstLine="567"/>
        <w:jc w:val="both"/>
        <w:rPr>
          <w:sz w:val="24"/>
          <w:szCs w:val="24"/>
        </w:rPr>
      </w:pPr>
      <w:r>
        <w:rPr>
          <w:sz w:val="24"/>
          <w:szCs w:val="24"/>
        </w:rPr>
        <w:t>Таким образом, ежегодная прибыль составит:</w:t>
      </w:r>
    </w:p>
    <w:p w:rsidR="00E85D42" w:rsidRDefault="008113B9">
      <w:pPr>
        <w:jc w:val="both"/>
      </w:pPr>
      <w:r>
        <w:rPr>
          <w:rFonts w:ascii="Times New Roman CYR" w:hAnsi="Times New Roman CYR"/>
          <w:color w:val="000000"/>
          <w:sz w:val="24"/>
          <w:szCs w:val="24"/>
        </w:rPr>
        <w:t>для III зоны рыбопродуктивности –</w:t>
      </w:r>
      <w:r>
        <w:rPr>
          <w:sz w:val="24"/>
          <w:szCs w:val="24"/>
        </w:rPr>
        <w:t xml:space="preserve"> 178 </w:t>
      </w:r>
      <w:r>
        <w:rPr>
          <w:sz w:val="24"/>
          <w:szCs w:val="24"/>
        </w:rPr>
        <w:t>987,20*22,7% = 40 630,09 руб;</w:t>
      </w:r>
    </w:p>
    <w:p w:rsidR="00E85D42" w:rsidRDefault="008113B9">
      <w:pPr>
        <w:jc w:val="both"/>
      </w:pPr>
      <w:r>
        <w:rPr>
          <w:rFonts w:ascii="Times New Roman CYR" w:hAnsi="Times New Roman CYR"/>
          <w:color w:val="000000"/>
          <w:sz w:val="24"/>
          <w:szCs w:val="24"/>
        </w:rPr>
        <w:t xml:space="preserve">для II зоны рыбопродуктивности – </w:t>
      </w:r>
      <w:r>
        <w:rPr>
          <w:sz w:val="24"/>
          <w:szCs w:val="24"/>
        </w:rPr>
        <w:t>164 376,00 *22,7% = 37 313,35 руб.</w:t>
      </w:r>
    </w:p>
    <w:p w:rsidR="00E85D42" w:rsidRDefault="008113B9">
      <w:pPr>
        <w:pStyle w:val="56"/>
        <w:ind w:left="0" w:firstLine="567"/>
        <w:jc w:val="both"/>
        <w:rPr>
          <w:sz w:val="24"/>
          <w:szCs w:val="24"/>
        </w:rPr>
      </w:pPr>
      <w:r>
        <w:rPr>
          <w:sz w:val="24"/>
          <w:szCs w:val="24"/>
        </w:rPr>
        <w:t>В данном случае, доход, рассчитанный для рыбохозяйственного производства, относится к доходу всего бизнеса, включая вознаграждение по фактору «предприниматель</w:t>
      </w:r>
      <w:r>
        <w:rPr>
          <w:sz w:val="24"/>
          <w:szCs w:val="24"/>
        </w:rPr>
        <w:t xml:space="preserve">ские способности». Доля чистого дохода бизнеса, приходящейся на вознаграждение по фактору «предпринимательские способности», принята Оценщиком на основании информации, представленной в статье  «Reasonable royalty rates», A. Scott Davidson, Alexander Stack </w:t>
      </w:r>
      <w:r>
        <w:rPr>
          <w:sz w:val="24"/>
          <w:szCs w:val="24"/>
        </w:rPr>
        <w:t>and Stephen Cole, представленной по ссылке http://bvreview.org/doi/abs/10.5791/0882-2875-18.4.156. Доля чистого дохода бизнеса, приходящейся на вознаграждение по фактору «предпринимательские способности», принята Оценщиком равной 25% от прибыли до налогов.</w:t>
      </w:r>
    </w:p>
    <w:p w:rsidR="00E85D42" w:rsidRDefault="008113B9">
      <w:pPr>
        <w:pStyle w:val="56"/>
        <w:ind w:left="0" w:firstLine="567"/>
        <w:jc w:val="both"/>
        <w:rPr>
          <w:sz w:val="24"/>
          <w:szCs w:val="24"/>
        </w:rPr>
      </w:pPr>
      <w:r>
        <w:rPr>
          <w:sz w:val="24"/>
          <w:szCs w:val="24"/>
        </w:rPr>
        <w:t>Следовательно, доля дохода, приходящегося на оцениваемый земельный участок пруда для рыбоводства из состава земель особо охраняемых территорий, составит:</w:t>
      </w:r>
    </w:p>
    <w:p w:rsidR="00E85D42" w:rsidRDefault="008113B9">
      <w:pPr>
        <w:jc w:val="both"/>
      </w:pPr>
      <w:r>
        <w:rPr>
          <w:rFonts w:ascii="Times New Roman CYR" w:hAnsi="Times New Roman CYR"/>
          <w:color w:val="000000"/>
          <w:sz w:val="24"/>
          <w:szCs w:val="24"/>
        </w:rPr>
        <w:t>для III зоны рыбопродуктивности –</w:t>
      </w:r>
      <w:r>
        <w:rPr>
          <w:sz w:val="24"/>
          <w:szCs w:val="24"/>
        </w:rPr>
        <w:t xml:space="preserve"> 40 630,09 х 25% = 10 157,52 руб.;</w:t>
      </w:r>
    </w:p>
    <w:p w:rsidR="00E85D42" w:rsidRDefault="008113B9">
      <w:pPr>
        <w:jc w:val="both"/>
        <w:rPr>
          <w:sz w:val="24"/>
          <w:szCs w:val="24"/>
        </w:rPr>
      </w:pPr>
      <w:r>
        <w:rPr>
          <w:sz w:val="24"/>
          <w:szCs w:val="24"/>
        </w:rPr>
        <w:t xml:space="preserve">для II зоны рыбопродуктивности – </w:t>
      </w:r>
      <w:r>
        <w:rPr>
          <w:sz w:val="24"/>
          <w:szCs w:val="24"/>
        </w:rPr>
        <w:t>37313,35 х 25% = 9 328,34 руб.</w:t>
      </w:r>
    </w:p>
    <w:p w:rsidR="00E85D42" w:rsidRDefault="008113B9">
      <w:pPr>
        <w:pStyle w:val="43"/>
        <w:ind w:firstLine="567"/>
        <w:jc w:val="both"/>
        <w:rPr>
          <w:i/>
          <w:sz w:val="24"/>
          <w:szCs w:val="24"/>
        </w:rPr>
      </w:pPr>
      <w:r>
        <w:rPr>
          <w:i/>
          <w:sz w:val="24"/>
          <w:szCs w:val="24"/>
        </w:rPr>
        <w:t>Определение коэффициента капитализации для земельного участка</w:t>
      </w:r>
    </w:p>
    <w:p w:rsidR="00E85D42" w:rsidRDefault="008113B9">
      <w:pPr>
        <w:pStyle w:val="43"/>
        <w:ind w:firstLine="567"/>
        <w:jc w:val="both"/>
      </w:pPr>
      <w:r>
        <w:rPr>
          <w:sz w:val="24"/>
          <w:szCs w:val="24"/>
        </w:rPr>
        <w:t xml:space="preserve">Считается, что коэффициент капитализации для земли должен быть равен норме доходности по альтернативным инвестициям без учета нормы возмещения капитала, так земля </w:t>
      </w:r>
      <w:r>
        <w:rPr>
          <w:sz w:val="24"/>
          <w:szCs w:val="24"/>
        </w:rPr>
        <w:t xml:space="preserve">не «изнашивается», то есть не теряет своих свойств со временем и, соответственно, может приносить доход и создавать стоимость в течение бесконечного периода времени. Отсюда коэффициент капитализации для земли полагается равным ставке дисконтирования, если </w:t>
      </w:r>
      <w:r>
        <w:rPr>
          <w:sz w:val="24"/>
          <w:szCs w:val="24"/>
        </w:rPr>
        <w:t xml:space="preserve">она соответствует сложившейся </w:t>
      </w:r>
      <w:r>
        <w:rPr>
          <w:rFonts w:ascii="Times New Roman CYR" w:hAnsi="Times New Roman CYR" w:cs="Times New Roman CYR"/>
          <w:bCs/>
          <w:sz w:val="24"/>
          <w:szCs w:val="24"/>
        </w:rPr>
        <w:t>норме отдачи на капитал или доходности альтернативных инвестиций.</w:t>
      </w:r>
    </w:p>
    <w:p w:rsidR="00E85D42" w:rsidRDefault="008113B9">
      <w:pPr>
        <w:pStyle w:val="43"/>
        <w:ind w:firstLine="567"/>
        <w:jc w:val="both"/>
        <w:rPr>
          <w:sz w:val="24"/>
          <w:szCs w:val="24"/>
        </w:rPr>
      </w:pPr>
      <w:r>
        <w:rPr>
          <w:sz w:val="24"/>
          <w:szCs w:val="24"/>
        </w:rPr>
        <w:t>Коэффициент капитализации для земельного участка включает безрисковую ставку и компенсацию за риск инвестирования в оцениваемый земельный участок.</w:t>
      </w:r>
    </w:p>
    <w:p w:rsidR="00E85D42" w:rsidRDefault="008113B9">
      <w:pPr>
        <w:jc w:val="both"/>
      </w:pPr>
      <w:r>
        <w:rPr>
          <w:sz w:val="24"/>
          <w:szCs w:val="24"/>
        </w:rPr>
        <w:tab/>
        <w:t>В качестве б</w:t>
      </w:r>
      <w:r>
        <w:rPr>
          <w:sz w:val="24"/>
          <w:szCs w:val="24"/>
        </w:rPr>
        <w:t>езрисковой ставки дохода используется значение кривой бескупонной доходности государственных облигаций (% годовых). Считается, что государство является самым надежным гарантом по своим обязательствам (вероятность его банкротства практически исключается). Д</w:t>
      </w:r>
      <w:r>
        <w:rPr>
          <w:sz w:val="24"/>
          <w:szCs w:val="24"/>
        </w:rPr>
        <w:t>оходность по ОФЗ по состоянию на 29.12.2018 г. составляет 8,74% (</w:t>
      </w:r>
      <w:hyperlink r:id="rId338" w:history="1">
        <w:r>
          <w:rPr>
            <w:rStyle w:val="a5"/>
            <w:color w:val="auto"/>
            <w:sz w:val="24"/>
            <w:szCs w:val="24"/>
          </w:rPr>
          <w:t>http://www.cbr.ru/hd_base/zcyc_params/</w:t>
        </w:r>
      </w:hyperlink>
      <w:r>
        <w:rPr>
          <w:sz w:val="24"/>
          <w:szCs w:val="24"/>
        </w:rPr>
        <w:t>) (см. Приложение 2 «Рыбоводство»).</w:t>
      </w:r>
    </w:p>
    <w:p w:rsidR="00E85D42" w:rsidRDefault="008113B9">
      <w:pPr>
        <w:spacing w:before="40"/>
        <w:ind w:firstLine="709"/>
        <w:jc w:val="both"/>
        <w:rPr>
          <w:sz w:val="24"/>
          <w:szCs w:val="24"/>
        </w:rPr>
      </w:pPr>
      <w:r>
        <w:rPr>
          <w:sz w:val="24"/>
          <w:szCs w:val="24"/>
        </w:rPr>
        <w:t>Риски вложения в оцениваемый объект рассчитаны методом взвеше</w:t>
      </w:r>
      <w:r>
        <w:rPr>
          <w:sz w:val="24"/>
          <w:szCs w:val="24"/>
        </w:rPr>
        <w:t>нной оценки и представлены ниже.</w:t>
      </w:r>
    </w:p>
    <w:p w:rsidR="00E85D42" w:rsidRDefault="008113B9">
      <w:pPr>
        <w:spacing w:before="40" w:line="360" w:lineRule="auto"/>
        <w:jc w:val="right"/>
        <w:rPr>
          <w:sz w:val="24"/>
          <w:szCs w:val="24"/>
        </w:rPr>
      </w:pPr>
      <w:r>
        <w:rPr>
          <w:sz w:val="24"/>
          <w:szCs w:val="24"/>
        </w:rPr>
        <w:t>Таблица 3.6.1.2 Расчет рисков</w:t>
      </w:r>
    </w:p>
    <w:tbl>
      <w:tblPr>
        <w:tblW w:w="5000" w:type="pct"/>
        <w:tblCellMar>
          <w:left w:w="10" w:type="dxa"/>
          <w:right w:w="10" w:type="dxa"/>
        </w:tblCellMar>
        <w:tblLook w:val="04A0" w:firstRow="1" w:lastRow="0" w:firstColumn="1" w:lastColumn="0" w:noHBand="0" w:noVBand="1"/>
      </w:tblPr>
      <w:tblGrid>
        <w:gridCol w:w="865"/>
        <w:gridCol w:w="2662"/>
        <w:gridCol w:w="618"/>
        <w:gridCol w:w="618"/>
        <w:gridCol w:w="620"/>
        <w:gridCol w:w="618"/>
        <w:gridCol w:w="620"/>
        <w:gridCol w:w="618"/>
        <w:gridCol w:w="624"/>
        <w:gridCol w:w="625"/>
        <w:gridCol w:w="623"/>
        <w:gridCol w:w="603"/>
      </w:tblGrid>
      <w:tr w:rsidR="00E85D42">
        <w:tblPrEx>
          <w:tblCellMar>
            <w:top w:w="0" w:type="dxa"/>
            <w:bottom w:w="0" w:type="dxa"/>
          </w:tblCellMar>
        </w:tblPrEx>
        <w:trPr>
          <w:trHeight w:val="246"/>
        </w:trPr>
        <w:tc>
          <w:tcPr>
            <w:tcW w:w="8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 фактора</w:t>
            </w:r>
          </w:p>
        </w:tc>
        <w:tc>
          <w:tcPr>
            <w:tcW w:w="26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Тип риска \ Ранг риска</w:t>
            </w:r>
          </w:p>
        </w:tc>
        <w:tc>
          <w:tcPr>
            <w:tcW w:w="6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2</w:t>
            </w:r>
          </w:p>
        </w:tc>
        <w:tc>
          <w:tcPr>
            <w:tcW w:w="620"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3</w:t>
            </w:r>
          </w:p>
        </w:tc>
        <w:tc>
          <w:tcPr>
            <w:tcW w:w="6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4</w:t>
            </w:r>
          </w:p>
        </w:tc>
        <w:tc>
          <w:tcPr>
            <w:tcW w:w="620"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5</w:t>
            </w:r>
          </w:p>
        </w:tc>
        <w:tc>
          <w:tcPr>
            <w:tcW w:w="6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6</w:t>
            </w:r>
          </w:p>
        </w:tc>
        <w:tc>
          <w:tcPr>
            <w:tcW w:w="624"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7</w:t>
            </w:r>
          </w:p>
        </w:tc>
        <w:tc>
          <w:tcPr>
            <w:tcW w:w="62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8</w:t>
            </w:r>
          </w:p>
        </w:tc>
        <w:tc>
          <w:tcPr>
            <w:tcW w:w="6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9</w:t>
            </w:r>
          </w:p>
        </w:tc>
        <w:tc>
          <w:tcPr>
            <w:tcW w:w="60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bCs/>
                <w:color w:val="000000"/>
                <w:sz w:val="17"/>
                <w:szCs w:val="17"/>
              </w:rPr>
            </w:pPr>
            <w:r>
              <w:rPr>
                <w:b/>
                <w:bCs/>
                <w:color w:val="000000"/>
                <w:sz w:val="17"/>
                <w:szCs w:val="17"/>
              </w:rPr>
              <w:t>10</w:t>
            </w:r>
          </w:p>
        </w:tc>
      </w:tr>
      <w:tr w:rsidR="00E85D42">
        <w:tblPrEx>
          <w:tblCellMar>
            <w:top w:w="0" w:type="dxa"/>
            <w:bottom w:w="0" w:type="dxa"/>
          </w:tblCellMar>
        </w:tblPrEx>
        <w:trPr>
          <w:trHeight w:val="46"/>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8849" w:type="dxa"/>
            <w:gridSpan w:val="11"/>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Риск, связанный с активами</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Политика экспроприации</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Политика национализации</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3</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xml:space="preserve">Возможность </w:t>
            </w:r>
            <w:r>
              <w:rPr>
                <w:color w:val="000000"/>
                <w:sz w:val="17"/>
                <w:szCs w:val="17"/>
              </w:rPr>
              <w:t>местного финансирования</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4</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Защита патентов, лицензий, контрактов</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8849" w:type="dxa"/>
            <w:gridSpan w:val="11"/>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Риск, связанный с социально-экономической ситуацией</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5</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Политическая стабильность</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6</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Отношение к иностранным инвесторам</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7</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Положение о праве собственности</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8</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Общая правовая ситуация</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9</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Участие государства в управлении</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10</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Настроение против частного сектора</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11</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xml:space="preserve">Наличие и стоимость </w:t>
            </w:r>
            <w:r>
              <w:rPr>
                <w:color w:val="000000"/>
                <w:sz w:val="17"/>
                <w:szCs w:val="17"/>
              </w:rPr>
              <w:t>местной рабочей силы</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12</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Отношение с сопредельными государствами</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13</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Влияние организованной преступности</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14</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Привилегии для национальных конкурентов</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8849" w:type="dxa"/>
            <w:gridSpan w:val="11"/>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Финансовые риски</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15</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Конвертируемость национальной валюты</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16</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Стабильность национальной валюты</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17</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Регулирование цен</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18</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Размер экономики / емкость рынка</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19</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xml:space="preserve">Тенденции развития экономики </w:t>
            </w:r>
            <w:r>
              <w:rPr>
                <w:color w:val="000000"/>
                <w:sz w:val="17"/>
                <w:szCs w:val="17"/>
              </w:rPr>
              <w:t>(безработица)</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20</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Задолженность</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21</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Ставка налога</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22</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Уровень инфляции</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8849" w:type="dxa"/>
            <w:gridSpan w:val="11"/>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Риски хозяйственной деятельности*</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23</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xml:space="preserve">Природные факторы (засуха, заморозки, вымерзание, выпревание, </w:t>
            </w:r>
            <w:r>
              <w:rPr>
                <w:color w:val="000000"/>
                <w:sz w:val="17"/>
                <w:szCs w:val="17"/>
              </w:rPr>
              <w:t>градобитие, пыльные, песчаные бури, землетрясение, лавина, сель, половодье, переувлажнение почвы, пожары)</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24</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Болезни и вредители(полное внезапное уничтожение посевов карантинными видами)</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25</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xml:space="preserve">Уничтожение или </w:t>
            </w:r>
            <w:r>
              <w:rPr>
                <w:color w:val="000000"/>
                <w:sz w:val="17"/>
                <w:szCs w:val="17"/>
              </w:rPr>
              <w:t>повреждение дикими животными, перелетными птицами, грызунами</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26</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Противоправные действия третьих лиц (уничтожение или повреждение урожая, хищение с поля, незаконный вылов рыбы)</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right"/>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Количество наблюдений</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3</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4</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3</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0</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0</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Взвешенный итог</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6</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16</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24</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21</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8</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0</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0</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Сумма</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108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Количество факторов</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26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 </w:t>
            </w:r>
          </w:p>
        </w:tc>
      </w:tr>
      <w:tr w:rsidR="00E85D42">
        <w:tblPrEx>
          <w:tblCellMar>
            <w:top w:w="0" w:type="dxa"/>
            <w:bottom w:w="0" w:type="dxa"/>
          </w:tblCellMar>
        </w:tblPrEx>
        <w:trPr>
          <w:trHeight w:val="20"/>
        </w:trPr>
        <w:tc>
          <w:tcPr>
            <w:tcW w:w="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7"/>
                <w:szCs w:val="17"/>
              </w:rPr>
            </w:pPr>
            <w:r>
              <w:rPr>
                <w:color w:val="000000"/>
                <w:sz w:val="17"/>
                <w:szCs w:val="17"/>
              </w:rPr>
              <w:t>Средневзвешенное значение</w:t>
            </w:r>
          </w:p>
        </w:tc>
        <w:tc>
          <w:tcPr>
            <w:tcW w:w="61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4,15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c>
          <w:tcPr>
            <w:tcW w:w="6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7"/>
                <w:szCs w:val="17"/>
              </w:rPr>
            </w:pPr>
            <w:r>
              <w:rPr>
                <w:color w:val="000000"/>
                <w:sz w:val="17"/>
                <w:szCs w:val="17"/>
              </w:rPr>
              <w:t> </w:t>
            </w:r>
          </w:p>
        </w:tc>
      </w:tr>
    </w:tbl>
    <w:p w:rsidR="00E85D42" w:rsidRDefault="008113B9">
      <w:pPr>
        <w:spacing w:line="360" w:lineRule="auto"/>
      </w:pPr>
      <w:r>
        <w:t>Таким образом, коэффициент капитализации будет равен: 8,74% + 4,15%  = 12,89</w:t>
      </w:r>
      <w:r>
        <w:rPr>
          <w:b/>
        </w:rPr>
        <w:t>%.</w:t>
      </w:r>
    </w:p>
    <w:p w:rsidR="00E85D42" w:rsidRDefault="008113B9">
      <w:pPr>
        <w:pStyle w:val="43"/>
        <w:spacing w:line="360" w:lineRule="auto"/>
        <w:jc w:val="center"/>
        <w:rPr>
          <w:sz w:val="24"/>
          <w:szCs w:val="24"/>
        </w:rPr>
      </w:pPr>
      <w:r>
        <w:rPr>
          <w:sz w:val="24"/>
          <w:szCs w:val="24"/>
        </w:rPr>
        <w:t>Расчет удельного показателя рыночной стоимости</w:t>
      </w:r>
    </w:p>
    <w:p w:rsidR="00E85D42" w:rsidRDefault="008113B9">
      <w:pPr>
        <w:pStyle w:val="43"/>
        <w:spacing w:line="360" w:lineRule="auto"/>
        <w:rPr>
          <w:sz w:val="24"/>
          <w:szCs w:val="24"/>
        </w:rPr>
      </w:pPr>
      <w:r>
        <w:rPr>
          <w:sz w:val="24"/>
          <w:szCs w:val="24"/>
        </w:rPr>
        <w:t>Таблица 3.6.1.3</w:t>
      </w:r>
    </w:p>
    <w:tbl>
      <w:tblPr>
        <w:tblW w:w="9782" w:type="dxa"/>
        <w:tblCellMar>
          <w:left w:w="10" w:type="dxa"/>
          <w:right w:w="10" w:type="dxa"/>
        </w:tblCellMar>
        <w:tblLook w:val="04A0" w:firstRow="1" w:lastRow="0" w:firstColumn="1" w:lastColumn="0" w:noHBand="0" w:noVBand="1"/>
      </w:tblPr>
      <w:tblGrid>
        <w:gridCol w:w="5954"/>
        <w:gridCol w:w="1985"/>
        <w:gridCol w:w="1843"/>
      </w:tblGrid>
      <w:tr w:rsidR="00E85D42">
        <w:tblPrEx>
          <w:tblCellMar>
            <w:top w:w="0" w:type="dxa"/>
            <w:bottom w:w="0" w:type="dxa"/>
          </w:tblCellMar>
        </w:tblPrEx>
        <w:trPr>
          <w:trHeight w:val="600"/>
        </w:trPr>
        <w:tc>
          <w:tcPr>
            <w:tcW w:w="5954"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rPr>
                <w:b/>
                <w:iCs/>
              </w:rPr>
            </w:pPr>
            <w:r>
              <w:rPr>
                <w:b/>
                <w:iCs/>
              </w:rPr>
              <w:t>Показатель</w:t>
            </w:r>
          </w:p>
        </w:tc>
        <w:tc>
          <w:tcPr>
            <w:tcW w:w="1985" w:type="dxa"/>
            <w:tcBorders>
              <w:top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E85D42" w:rsidRDefault="008113B9">
            <w:pPr>
              <w:jc w:val="center"/>
            </w:pPr>
            <w:r>
              <w:rPr>
                <w:b/>
                <w:iCs/>
              </w:rPr>
              <w:t xml:space="preserve">Значение для прудовых хозяйств </w:t>
            </w:r>
            <w:r>
              <w:rPr>
                <w:b/>
                <w:iCs/>
                <w:lang w:val="en-US"/>
              </w:rPr>
              <w:t>III</w:t>
            </w:r>
            <w:r>
              <w:rPr>
                <w:b/>
                <w:iCs/>
              </w:rPr>
              <w:t xml:space="preserve"> зоны рыбоводства</w:t>
            </w:r>
          </w:p>
        </w:tc>
        <w:tc>
          <w:tcPr>
            <w:tcW w:w="1843"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5D42" w:rsidRDefault="008113B9">
            <w:pPr>
              <w:jc w:val="center"/>
            </w:pPr>
            <w:r>
              <w:rPr>
                <w:b/>
                <w:iCs/>
              </w:rPr>
              <w:t xml:space="preserve">Значение для прудовых хозяйств </w:t>
            </w:r>
            <w:r>
              <w:rPr>
                <w:b/>
                <w:iCs/>
                <w:lang w:val="en-US"/>
              </w:rPr>
              <w:t>II</w:t>
            </w:r>
            <w:r>
              <w:rPr>
                <w:b/>
                <w:iCs/>
              </w:rPr>
              <w:t xml:space="preserve"> зоны рыбоводства</w:t>
            </w:r>
          </w:p>
        </w:tc>
      </w:tr>
      <w:tr w:rsidR="00E85D42">
        <w:tblPrEx>
          <w:tblCellMar>
            <w:top w:w="0" w:type="dxa"/>
            <w:bottom w:w="0" w:type="dxa"/>
          </w:tblCellMar>
        </w:tblPrEx>
        <w:trPr>
          <w:trHeight w:val="506"/>
        </w:trPr>
        <w:tc>
          <w:tcPr>
            <w:tcW w:w="595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r>
              <w:t>Доля дохода, приходящаяся на оцениваемый земельный участок (NOI), руб.</w:t>
            </w:r>
          </w:p>
        </w:tc>
        <w:tc>
          <w:tcPr>
            <w:tcW w:w="198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 xml:space="preserve">10 </w:t>
            </w:r>
            <w:r>
              <w:t>157,52</w:t>
            </w: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t>9 328,34</w:t>
            </w:r>
          </w:p>
        </w:tc>
      </w:tr>
      <w:tr w:rsidR="00E85D42">
        <w:tblPrEx>
          <w:tblCellMar>
            <w:top w:w="0" w:type="dxa"/>
            <w:bottom w:w="0" w:type="dxa"/>
          </w:tblCellMar>
        </w:tblPrEx>
        <w:trPr>
          <w:trHeight w:val="506"/>
        </w:trPr>
        <w:tc>
          <w:tcPr>
            <w:tcW w:w="595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r>
              <w:t>Коэффициент капитализации (К), %</w:t>
            </w:r>
          </w:p>
        </w:tc>
        <w:tc>
          <w:tcPr>
            <w:tcW w:w="198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12,89</w:t>
            </w: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t>12,89</w:t>
            </w:r>
          </w:p>
        </w:tc>
      </w:tr>
      <w:tr w:rsidR="00E85D42">
        <w:tblPrEx>
          <w:tblCellMar>
            <w:top w:w="0" w:type="dxa"/>
            <w:bottom w:w="0" w:type="dxa"/>
          </w:tblCellMar>
        </w:tblPrEx>
        <w:trPr>
          <w:trHeight w:val="506"/>
        </w:trPr>
        <w:tc>
          <w:tcPr>
            <w:tcW w:w="595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r>
              <w:rPr>
                <w:iCs/>
              </w:rPr>
              <w:t xml:space="preserve">Рыночная стоимость объекта оценки </w:t>
            </w:r>
            <w:r>
              <w:t>(PV=NOI/К</w:t>
            </w:r>
            <w:r>
              <w:rPr>
                <w:rFonts w:ascii="Arial CYR" w:hAnsi="Arial CYR" w:cs="Arial CYR"/>
              </w:rPr>
              <w:t>×</w:t>
            </w:r>
            <w:r>
              <w:t>100</w:t>
            </w:r>
            <w:r>
              <w:rPr>
                <w:iCs/>
              </w:rPr>
              <w:t>), руб./га</w:t>
            </w:r>
          </w:p>
        </w:tc>
        <w:tc>
          <w:tcPr>
            <w:tcW w:w="198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78 802</w:t>
            </w: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t>72 369</w:t>
            </w:r>
          </w:p>
        </w:tc>
      </w:tr>
      <w:tr w:rsidR="00E85D42">
        <w:tblPrEx>
          <w:tblCellMar>
            <w:top w:w="0" w:type="dxa"/>
            <w:bottom w:w="0" w:type="dxa"/>
          </w:tblCellMar>
        </w:tblPrEx>
        <w:trPr>
          <w:trHeight w:val="506"/>
        </w:trPr>
        <w:tc>
          <w:tcPr>
            <w:tcW w:w="59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rPr>
                <w:iCs/>
              </w:rPr>
            </w:pPr>
            <w:r>
              <w:rPr>
                <w:iCs/>
              </w:rPr>
              <w:t>Удельный показатель рыночной стоимости, руб./кв.м.</w:t>
            </w:r>
          </w:p>
        </w:tc>
        <w:tc>
          <w:tcPr>
            <w:tcW w:w="198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7,9</w:t>
            </w:r>
          </w:p>
        </w:tc>
        <w:tc>
          <w:tcPr>
            <w:tcW w:w="184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t>7,2</w:t>
            </w:r>
          </w:p>
        </w:tc>
      </w:tr>
    </w:tbl>
    <w:p w:rsidR="00E85D42" w:rsidRDefault="008113B9">
      <w:pPr>
        <w:ind w:firstLine="709"/>
        <w:jc w:val="both"/>
        <w:rPr>
          <w:color w:val="000000"/>
          <w:sz w:val="24"/>
        </w:rPr>
      </w:pPr>
      <w:r>
        <w:rPr>
          <w:color w:val="000000"/>
          <w:sz w:val="24"/>
        </w:rPr>
        <w:t xml:space="preserve">Расчет рыночной стоимости объектов оценки в зависимости от </w:t>
      </w:r>
      <w:r>
        <w:rPr>
          <w:color w:val="000000"/>
          <w:sz w:val="24"/>
        </w:rPr>
        <w:t>зоны рыбоводства осуществляется путем умножения удельного показателя рыночной стоимости в зависимости от зоны рыбоводства на площадь объектов оценки.</w:t>
      </w:r>
    </w:p>
    <w:p w:rsidR="00E85D42" w:rsidRDefault="008113B9">
      <w:pPr>
        <w:ind w:firstLine="709"/>
        <w:jc w:val="both"/>
        <w:rPr>
          <w:color w:val="000000"/>
          <w:sz w:val="24"/>
        </w:rPr>
      </w:pPr>
      <w:r>
        <w:rPr>
          <w:color w:val="000000"/>
          <w:sz w:val="24"/>
        </w:rPr>
        <w:t>Результаты определения кадастровой стоимости земельных участков приводятся в (см. Приложение 2 «Рыбоводств</w:t>
      </w:r>
      <w:r>
        <w:rPr>
          <w:color w:val="000000"/>
          <w:sz w:val="24"/>
        </w:rPr>
        <w:t>о»).</w:t>
      </w:r>
    </w:p>
    <w:p w:rsidR="00E85D42" w:rsidRDefault="00E85D42">
      <w:pPr>
        <w:jc w:val="both"/>
        <w:rPr>
          <w:sz w:val="24"/>
        </w:rPr>
      </w:pPr>
    </w:p>
    <w:p w:rsidR="00E85D42" w:rsidRDefault="008113B9">
      <w:pPr>
        <w:pStyle w:val="8"/>
        <w:numPr>
          <w:ilvl w:val="2"/>
          <w:numId w:val="22"/>
        </w:numPr>
        <w:ind w:left="567" w:hanging="567"/>
      </w:pPr>
      <w:r>
        <w:rPr>
          <w:b/>
          <w:sz w:val="24"/>
        </w:rPr>
        <w:t>Расчет кадастровой стоимости земельных участков, отнесенных по виду разрешенного использования к сегменту</w:t>
      </w:r>
      <w:r>
        <w:rPr>
          <w:rFonts w:eastAsia="Calibri"/>
          <w:b/>
          <w:sz w:val="24"/>
          <w:lang w:eastAsia="en-US"/>
        </w:rPr>
        <w:t xml:space="preserve"> «Жилая застройка (среднеэтажная и многоэтажная)": 02:050; 02:051; 02:060; 02:061</w:t>
      </w:r>
    </w:p>
    <w:p w:rsidR="00E85D42" w:rsidRDefault="00E85D42">
      <w:pPr>
        <w:rPr>
          <w:rFonts w:eastAsia="Calibri"/>
          <w:lang w:eastAsia="en-US"/>
        </w:rPr>
      </w:pPr>
    </w:p>
    <w:p w:rsidR="00E85D42" w:rsidRDefault="008113B9">
      <w:pPr>
        <w:ind w:firstLine="709"/>
        <w:jc w:val="both"/>
      </w:pPr>
      <w:r>
        <w:rPr>
          <w:rFonts w:eastAsia="Calibri"/>
          <w:sz w:val="24"/>
          <w:lang w:eastAsia="en-US"/>
        </w:rPr>
        <w:t>В виду того, что в перечне земельных участков, отнесенных к да</w:t>
      </w:r>
      <w:r>
        <w:rPr>
          <w:rFonts w:eastAsia="Calibri"/>
          <w:sz w:val="24"/>
          <w:lang w:eastAsia="en-US"/>
        </w:rPr>
        <w:t>нному сегменту, присутствуют земельные участки, не имеющие координат границ, определение значений ценовых факторов для участков в городских населенных пунктах не представляется возможным. Кроме того, имеются участки, кадастровый номер и сведения о местопол</w:t>
      </w:r>
      <w:r>
        <w:rPr>
          <w:rFonts w:eastAsia="Calibri"/>
          <w:sz w:val="24"/>
          <w:lang w:eastAsia="en-US"/>
        </w:rPr>
        <w:t>ожении, содержащиеся в ЕГРН не соответствуют их фактическому положению (земельные участки расположены за пределами границ населенных пунктов). Для такого случая оценщиками введен дополнительный фактор «Графическая привязка» Данный фактор технический и испо</w:t>
      </w:r>
      <w:r>
        <w:rPr>
          <w:rFonts w:eastAsia="Calibri"/>
          <w:sz w:val="24"/>
          <w:lang w:eastAsia="en-US"/>
        </w:rPr>
        <w:t>льзуется для разделения участков в зависимости от технологии расчета. Участки, которые описаны в разрезе ценообразующих факторов, т.е. по которым имеется полная информация, рассчитываются с использованием методов математического моделирования, для остальны</w:t>
      </w:r>
      <w:r>
        <w:rPr>
          <w:rFonts w:eastAsia="Calibri"/>
          <w:sz w:val="24"/>
          <w:lang w:eastAsia="en-US"/>
        </w:rPr>
        <w:t xml:space="preserve">х участков значение УПКС принимается равным среднему значению УПКС в том же муниципальном районе, рассчитанному методом математического моделирования. </w:t>
      </w:r>
      <w:r>
        <w:rPr>
          <w:sz w:val="24"/>
          <w:szCs w:val="24"/>
        </w:rPr>
        <w:t>По фактору «Тип населенного пункта» объекты оценки были разделены на подгруппы:</w:t>
      </w:r>
    </w:p>
    <w:p w:rsidR="00E85D42" w:rsidRDefault="008113B9">
      <w:pPr>
        <w:pStyle w:val="ab"/>
        <w:numPr>
          <w:ilvl w:val="0"/>
          <w:numId w:val="31"/>
        </w:numPr>
        <w:jc w:val="both"/>
        <w:rPr>
          <w:sz w:val="24"/>
        </w:rPr>
      </w:pPr>
      <w:r>
        <w:rPr>
          <w:sz w:val="24"/>
        </w:rPr>
        <w:t>Земельные участки, предна</w:t>
      </w:r>
      <w:r>
        <w:rPr>
          <w:sz w:val="24"/>
        </w:rPr>
        <w:t>значенные для размещения объектов жилой застройки (многоэтажной и среднеэтажной), расположенные в г. Уфа;</w:t>
      </w:r>
    </w:p>
    <w:p w:rsidR="00E85D42" w:rsidRDefault="008113B9">
      <w:pPr>
        <w:pStyle w:val="ab"/>
        <w:numPr>
          <w:ilvl w:val="0"/>
          <w:numId w:val="31"/>
        </w:numPr>
        <w:jc w:val="both"/>
        <w:rPr>
          <w:sz w:val="24"/>
        </w:rPr>
      </w:pPr>
      <w:r>
        <w:rPr>
          <w:sz w:val="24"/>
        </w:rPr>
        <w:t>Земельные участки, предназначенные для размещения объектов жилой застройки (многоэтажной и среднеэтажной), расположенные в городах Республики Башкорто</w:t>
      </w:r>
      <w:r>
        <w:rPr>
          <w:sz w:val="24"/>
        </w:rPr>
        <w:t>стан;</w:t>
      </w:r>
    </w:p>
    <w:p w:rsidR="00E85D42" w:rsidRDefault="008113B9">
      <w:pPr>
        <w:pStyle w:val="ab"/>
        <w:numPr>
          <w:ilvl w:val="0"/>
          <w:numId w:val="31"/>
        </w:numPr>
        <w:jc w:val="both"/>
        <w:rPr>
          <w:sz w:val="24"/>
        </w:rPr>
      </w:pPr>
      <w:r>
        <w:rPr>
          <w:sz w:val="24"/>
        </w:rPr>
        <w:t>Земельные участки, предназначенные для размещения объектов жилой застройки (многоэтажной и среднеэтажной), расположенные в сельских населенных пунктах Республики Башкортостан.</w:t>
      </w:r>
    </w:p>
    <w:p w:rsidR="00E85D42" w:rsidRDefault="008113B9">
      <w:pPr>
        <w:autoSpaceDE w:val="0"/>
        <w:ind w:firstLine="709"/>
        <w:jc w:val="both"/>
        <w:rPr>
          <w:rFonts w:eastAsia="Calibri"/>
          <w:sz w:val="24"/>
          <w:lang w:eastAsia="en-US"/>
        </w:rPr>
      </w:pPr>
      <w:r>
        <w:rPr>
          <w:rFonts w:eastAsia="Calibri"/>
          <w:sz w:val="24"/>
          <w:lang w:eastAsia="en-US"/>
        </w:rPr>
        <w:t xml:space="preserve">Источники информации, используемые в сборе сведений о значениях </w:t>
      </w:r>
      <w:r>
        <w:rPr>
          <w:rFonts w:eastAsia="Calibri"/>
          <w:sz w:val="24"/>
          <w:lang w:eastAsia="en-US"/>
        </w:rPr>
        <w:t xml:space="preserve">ценообразующих факторов приведены п.п. 3.1.7 настоящего Отчета. </w:t>
      </w:r>
    </w:p>
    <w:p w:rsidR="00E85D42" w:rsidRDefault="008113B9">
      <w:pPr>
        <w:autoSpaceDE w:val="0"/>
        <w:ind w:firstLine="720"/>
        <w:jc w:val="both"/>
        <w:rPr>
          <w:rFonts w:eastAsia="Calibri"/>
          <w:sz w:val="24"/>
          <w:lang w:eastAsia="en-US"/>
        </w:rPr>
      </w:pPr>
      <w:r>
        <w:rPr>
          <w:rFonts w:eastAsia="Calibri"/>
          <w:sz w:val="24"/>
          <w:lang w:eastAsia="en-US"/>
        </w:rPr>
        <w:t xml:space="preserve">В качестве аналогов для расчета были использованы сведения о об объектах, кадастровая стоимость которых была установлена в размере рыночной в результате оспаривания, расположенных на </w:t>
      </w:r>
      <w:r>
        <w:rPr>
          <w:rFonts w:eastAsia="Calibri"/>
          <w:sz w:val="24"/>
          <w:lang w:eastAsia="en-US"/>
        </w:rPr>
        <w:t>территории г. Уфы. Перечень оспоренных земельных участков представлен в Приложение №1.7.</w:t>
      </w:r>
    </w:p>
    <w:p w:rsidR="00E85D42" w:rsidRDefault="008113B9">
      <w:pPr>
        <w:autoSpaceDE w:val="0"/>
        <w:ind w:firstLine="720"/>
        <w:jc w:val="both"/>
      </w:pPr>
      <w:r>
        <w:rPr>
          <w:rFonts w:eastAsia="Calibri"/>
          <w:sz w:val="24"/>
          <w:lang w:eastAsia="en-US"/>
        </w:rPr>
        <w:t xml:space="preserve">Все объекты-аналоги по фактору «Тип населенного пункта» были отнесены к подгруппе </w:t>
      </w:r>
      <w:r>
        <w:rPr>
          <w:color w:val="212529"/>
          <w:sz w:val="24"/>
        </w:rPr>
        <w:t>земельных участков, предназначенных для размещения объектов жилой застройки (многоэта</w:t>
      </w:r>
      <w:r>
        <w:rPr>
          <w:color w:val="212529"/>
          <w:sz w:val="24"/>
        </w:rPr>
        <w:t>жной и среднеэтажной), расположенных в г. Уфа.</w:t>
      </w:r>
    </w:p>
    <w:p w:rsidR="00E85D42" w:rsidRDefault="008113B9">
      <w:pPr>
        <w:pStyle w:val="Standarduser"/>
        <w:tabs>
          <w:tab w:val="left" w:pos="1134"/>
        </w:tabs>
        <w:spacing w:before="120" w:line="288" w:lineRule="auto"/>
        <w:ind w:firstLine="709"/>
        <w:jc w:val="both"/>
      </w:pPr>
      <w:r>
        <w:t>Для расчета</w:t>
      </w:r>
      <w:r>
        <w:rPr>
          <w:b/>
        </w:rPr>
        <w:t xml:space="preserve"> земельных участков, предназначенных для размещения </w:t>
      </w:r>
      <w:r>
        <w:rPr>
          <w:color w:val="212529"/>
        </w:rPr>
        <w:t>объектов жилой застройки (многоэтажной и среднеэтажной)</w:t>
      </w:r>
      <w:r>
        <w:rPr>
          <w:b/>
          <w:color w:val="212529"/>
        </w:rPr>
        <w:t>, расположенных в г. Уфа</w:t>
      </w:r>
      <w:r>
        <w:t xml:space="preserve"> выбрана </w:t>
      </w:r>
      <w:r>
        <w:rPr>
          <w:b/>
        </w:rPr>
        <w:t>линейная модель.</w:t>
      </w:r>
    </w:p>
    <w:p w:rsidR="00E85D42" w:rsidRDefault="008113B9">
      <w:pPr>
        <w:pStyle w:val="Standarduser"/>
        <w:jc w:val="right"/>
      </w:pPr>
      <w:r>
        <w:t>Таблица 3.6.2.1</w:t>
      </w:r>
    </w:p>
    <w:tbl>
      <w:tblPr>
        <w:tblW w:w="9714" w:type="dxa"/>
        <w:jc w:val="center"/>
        <w:tblCellMar>
          <w:left w:w="10" w:type="dxa"/>
          <w:right w:w="10" w:type="dxa"/>
        </w:tblCellMar>
        <w:tblLook w:val="04A0" w:firstRow="1" w:lastRow="0" w:firstColumn="1" w:lastColumn="0" w:noHBand="0" w:noVBand="1"/>
      </w:tblPr>
      <w:tblGrid>
        <w:gridCol w:w="2003"/>
        <w:gridCol w:w="674"/>
        <w:gridCol w:w="5841"/>
        <w:gridCol w:w="1196"/>
      </w:tblGrid>
      <w:tr w:rsidR="00E85D42">
        <w:tblPrEx>
          <w:tblCellMar>
            <w:top w:w="0" w:type="dxa"/>
            <w:bottom w:w="0" w:type="dxa"/>
          </w:tblCellMar>
        </w:tblPrEx>
        <w:trPr>
          <w:trHeight w:val="645"/>
          <w:jc w:val="center"/>
        </w:trPr>
        <w:tc>
          <w:tcPr>
            <w:tcW w:w="20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Ценообразующий фактор</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 xml:space="preserve">№ </w:t>
            </w:r>
          </w:p>
        </w:tc>
        <w:tc>
          <w:tcPr>
            <w:tcW w:w="58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center"/>
              <w:rPr>
                <w:b/>
                <w:sz w:val="20"/>
                <w:szCs w:val="20"/>
              </w:rPr>
            </w:pPr>
            <w:r>
              <w:rPr>
                <w:b/>
                <w:sz w:val="20"/>
                <w:szCs w:val="20"/>
              </w:rPr>
              <w:t>Формула для расчета</w:t>
            </w:r>
          </w:p>
          <w:p w:rsidR="00E85D42" w:rsidRDefault="008113B9">
            <w:pPr>
              <w:pStyle w:val="Standarduser"/>
              <w:tabs>
                <w:tab w:val="left" w:pos="1134"/>
              </w:tabs>
              <w:spacing w:before="120" w:line="288" w:lineRule="auto"/>
              <w:jc w:val="both"/>
            </w:pPr>
            <w:r>
              <w:rPr>
                <w:sz w:val="20"/>
                <w:szCs w:val="20"/>
              </w:rPr>
              <w:t xml:space="preserve">Y = -3304.7642514754766 + 3280.7434195904634 * </w:t>
            </w:r>
            <w:r>
              <w:rPr>
                <w:sz w:val="20"/>
                <w:szCs w:val="20"/>
                <w:lang w:val="en-US"/>
              </w:rPr>
              <w:t>F</w:t>
            </w:r>
            <w:r>
              <w:rPr>
                <w:sz w:val="20"/>
                <w:szCs w:val="20"/>
              </w:rPr>
              <w:t xml:space="preserve">1 + 7660.350147465898 * </w:t>
            </w:r>
            <w:r>
              <w:rPr>
                <w:sz w:val="20"/>
                <w:szCs w:val="20"/>
                <w:lang w:val="en-US"/>
              </w:rPr>
              <w:t>F</w:t>
            </w:r>
            <w:r>
              <w:rPr>
                <w:sz w:val="20"/>
                <w:szCs w:val="20"/>
              </w:rPr>
              <w:t>2</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pStyle w:val="Standarduser"/>
              <w:tabs>
                <w:tab w:val="left" w:pos="1134"/>
              </w:tabs>
              <w:spacing w:before="120" w:line="288" w:lineRule="auto"/>
              <w:jc w:val="center"/>
              <w:rPr>
                <w:b/>
                <w:sz w:val="20"/>
                <w:szCs w:val="20"/>
              </w:rPr>
            </w:pPr>
            <w:r>
              <w:rPr>
                <w:b/>
                <w:sz w:val="20"/>
                <w:szCs w:val="20"/>
              </w:rPr>
              <w:t>Корреляция</w:t>
            </w:r>
          </w:p>
        </w:tc>
      </w:tr>
      <w:tr w:rsidR="00E85D42">
        <w:tblPrEx>
          <w:tblCellMar>
            <w:top w:w="0" w:type="dxa"/>
            <w:bottom w:w="0" w:type="dxa"/>
          </w:tblCellMar>
        </w:tblPrEx>
        <w:trPr>
          <w:trHeight w:val="495"/>
          <w:jc w:val="center"/>
        </w:trPr>
        <w:tc>
          <w:tcPr>
            <w:tcW w:w="20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autoSpaceDE w:val="0"/>
              <w:jc w:val="both"/>
              <w:rPr>
                <w:rFonts w:eastAsia="Calibri"/>
                <w:sz w:val="24"/>
                <w:lang w:eastAsia="en-US"/>
              </w:rPr>
            </w:pPr>
            <w:r>
              <w:rPr>
                <w:rFonts w:eastAsia="Calibri"/>
                <w:sz w:val="24"/>
                <w:lang w:eastAsia="en-US"/>
              </w:rPr>
              <w:t>Расстояние до административного центра</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1</w:t>
            </w:r>
          </w:p>
        </w:tc>
        <w:tc>
          <w:tcPr>
            <w:tcW w:w="58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8004.814285714286 / (2988.2000000000003 + X0)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pStyle w:val="Standarduser"/>
              <w:tabs>
                <w:tab w:val="left" w:pos="1134"/>
              </w:tabs>
              <w:spacing w:before="120" w:line="288" w:lineRule="auto"/>
              <w:jc w:val="both"/>
              <w:rPr>
                <w:sz w:val="20"/>
                <w:szCs w:val="20"/>
              </w:rPr>
            </w:pPr>
            <w:r>
              <w:rPr>
                <w:sz w:val="20"/>
                <w:szCs w:val="20"/>
              </w:rPr>
              <w:t>0,63</w:t>
            </w:r>
          </w:p>
        </w:tc>
      </w:tr>
      <w:tr w:rsidR="00E85D42">
        <w:tblPrEx>
          <w:tblCellMar>
            <w:top w:w="0" w:type="dxa"/>
            <w:bottom w:w="0" w:type="dxa"/>
          </w:tblCellMar>
        </w:tblPrEx>
        <w:trPr>
          <w:trHeight w:val="495"/>
          <w:jc w:val="center"/>
        </w:trPr>
        <w:tc>
          <w:tcPr>
            <w:tcW w:w="20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autoSpaceDE w:val="0"/>
              <w:jc w:val="both"/>
              <w:rPr>
                <w:rFonts w:eastAsia="Calibri"/>
                <w:sz w:val="24"/>
                <w:lang w:eastAsia="en-US"/>
              </w:rPr>
            </w:pPr>
            <w:r>
              <w:rPr>
                <w:rFonts w:eastAsia="Calibri"/>
                <w:sz w:val="24"/>
                <w:lang w:eastAsia="en-US"/>
              </w:rPr>
              <w:t>Расстояние до остановок общественного транспорта</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2</w:t>
            </w:r>
          </w:p>
        </w:tc>
        <w:tc>
          <w:tcPr>
            <w:tcW w:w="58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549.5142857142857 / (293.2 + X1)</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pStyle w:val="Standarduser"/>
              <w:tabs>
                <w:tab w:val="left" w:pos="1134"/>
              </w:tabs>
              <w:spacing w:before="120" w:line="288" w:lineRule="auto"/>
              <w:jc w:val="both"/>
              <w:rPr>
                <w:sz w:val="20"/>
                <w:szCs w:val="20"/>
              </w:rPr>
            </w:pPr>
            <w:r>
              <w:rPr>
                <w:sz w:val="20"/>
                <w:szCs w:val="20"/>
              </w:rPr>
              <w:t>0,9</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3.6.2.2</w:t>
      </w:r>
    </w:p>
    <w:tbl>
      <w:tblPr>
        <w:tblW w:w="9528" w:type="dxa"/>
        <w:tblCellMar>
          <w:left w:w="10" w:type="dxa"/>
          <w:right w:w="10" w:type="dxa"/>
        </w:tblCellMar>
        <w:tblLook w:val="04A0" w:firstRow="1" w:lastRow="0" w:firstColumn="1" w:lastColumn="0" w:noHBand="0" w:noVBand="1"/>
      </w:tblPr>
      <w:tblGrid>
        <w:gridCol w:w="1141"/>
        <w:gridCol w:w="1243"/>
        <w:gridCol w:w="1050"/>
        <w:gridCol w:w="1137"/>
        <w:gridCol w:w="1124"/>
        <w:gridCol w:w="1217"/>
        <w:gridCol w:w="1256"/>
        <w:gridCol w:w="1360"/>
      </w:tblGrid>
      <w:tr w:rsidR="00E85D42">
        <w:tblPrEx>
          <w:tblCellMar>
            <w:top w:w="0" w:type="dxa"/>
            <w:bottom w:w="0" w:type="dxa"/>
          </w:tblCellMar>
        </w:tblPrEx>
        <w:trPr>
          <w:tblHeader/>
        </w:trPr>
        <w:tc>
          <w:tcPr>
            <w:tcW w:w="114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24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341"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616"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14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24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4"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25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36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14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Линейная функция</w:t>
            </w:r>
          </w:p>
        </w:tc>
        <w:tc>
          <w:tcPr>
            <w:tcW w:w="124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398.21667</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0.45289</w:t>
            </w:r>
          </w:p>
        </w:tc>
        <w:tc>
          <w:tcPr>
            <w:tcW w:w="1124"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0.96137</w:t>
            </w:r>
          </w:p>
        </w:tc>
        <w:tc>
          <w:tcPr>
            <w:tcW w:w="121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0.89892</w:t>
            </w:r>
          </w:p>
        </w:tc>
        <w:tc>
          <w:tcPr>
            <w:tcW w:w="125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0.17604</w:t>
            </w:r>
          </w:p>
        </w:tc>
        <w:tc>
          <w:tcPr>
            <w:tcW w:w="136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0.15138</w:t>
            </w:r>
          </w:p>
        </w:tc>
      </w:tr>
    </w:tbl>
    <w:p w:rsidR="00E85D42" w:rsidRDefault="00E85D42">
      <w:pPr>
        <w:pStyle w:val="Standarduser"/>
        <w:jc w:val="right"/>
      </w:pPr>
    </w:p>
    <w:p w:rsidR="00E85D42" w:rsidRDefault="008113B9">
      <w:pPr>
        <w:pStyle w:val="Standarduser"/>
        <w:tabs>
          <w:tab w:val="left" w:pos="1134"/>
        </w:tabs>
        <w:spacing w:before="120" w:line="288" w:lineRule="auto"/>
        <w:ind w:firstLine="709"/>
        <w:jc w:val="both"/>
      </w:pPr>
      <w:r>
        <w:t xml:space="preserve">Расчет земельных участков, предназначенных для размещения </w:t>
      </w:r>
      <w:r>
        <w:rPr>
          <w:b/>
          <w:color w:val="212529"/>
        </w:rPr>
        <w:t xml:space="preserve">объектов жилой застройки (многоэтажной и среднеэтажной), расположенных в городах Республики </w:t>
      </w:r>
      <w:r>
        <w:rPr>
          <w:b/>
          <w:color w:val="212529"/>
        </w:rPr>
        <w:t>Башкортостан</w:t>
      </w:r>
      <w:r>
        <w:rPr>
          <w:color w:val="212529"/>
        </w:rPr>
        <w:t xml:space="preserve"> произведен на основании модели, использованной для расчета кадастровой стоимости </w:t>
      </w:r>
      <w:r>
        <w:rPr>
          <w:b/>
        </w:rPr>
        <w:t xml:space="preserve">земельных участков, предназначенных для размещения </w:t>
      </w:r>
      <w:r>
        <w:rPr>
          <w:color w:val="212529"/>
        </w:rPr>
        <w:t>объектов жилой застройки (многоэтажной и среднеэтажной)</w:t>
      </w:r>
      <w:r>
        <w:rPr>
          <w:b/>
          <w:color w:val="212529"/>
        </w:rPr>
        <w:t xml:space="preserve">, расположенных в г. Уфа </w:t>
      </w:r>
      <w:r>
        <w:rPr>
          <w:color w:val="212529"/>
        </w:rPr>
        <w:t>с корректировкой полученных рез</w:t>
      </w:r>
      <w:r>
        <w:rPr>
          <w:color w:val="212529"/>
        </w:rPr>
        <w:t>ультатов по фактору «Статус населенного пункта»</w:t>
      </w:r>
      <w:r>
        <w:rPr>
          <w:rStyle w:val="af4"/>
          <w:color w:val="212529"/>
        </w:rPr>
        <w:footnoteReference w:id="24"/>
      </w:r>
    </w:p>
    <w:p w:rsidR="00E85D42" w:rsidRDefault="008113B9">
      <w:pPr>
        <w:pStyle w:val="Standarduser"/>
        <w:tabs>
          <w:tab w:val="left" w:pos="567"/>
        </w:tabs>
        <w:spacing w:before="120" w:line="288" w:lineRule="auto"/>
        <w:ind w:left="567"/>
        <w:jc w:val="both"/>
      </w:pPr>
      <w:r>
        <w:rPr>
          <w:noProof/>
          <w:lang w:eastAsia="ru-RU"/>
        </w:rPr>
        <w:drawing>
          <wp:inline distT="0" distB="0" distL="0" distR="0">
            <wp:extent cx="4591046" cy="981078"/>
            <wp:effectExtent l="0" t="0" r="4" b="9522"/>
            <wp:docPr id="139"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4591046" cy="981078"/>
                    </a:xfrm>
                    <a:prstGeom prst="rect">
                      <a:avLst/>
                    </a:prstGeom>
                    <a:noFill/>
                    <a:ln>
                      <a:noFill/>
                      <a:prstDash/>
                    </a:ln>
                  </pic:spPr>
                </pic:pic>
              </a:graphicData>
            </a:graphic>
          </wp:inline>
        </w:drawing>
      </w:r>
      <w:r>
        <w:t xml:space="preserve"> </w:t>
      </w:r>
      <w:r>
        <w:rPr>
          <w:noProof/>
          <w:lang w:eastAsia="ru-RU"/>
        </w:rPr>
        <w:drawing>
          <wp:inline distT="0" distB="0" distL="0" distR="0">
            <wp:extent cx="4581528" cy="1457325"/>
            <wp:effectExtent l="0" t="0" r="9522" b="9525"/>
            <wp:docPr id="140" name="Рисунок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4581528" cy="1457325"/>
                    </a:xfrm>
                    <a:prstGeom prst="rect">
                      <a:avLst/>
                    </a:prstGeom>
                    <a:noFill/>
                    <a:ln>
                      <a:noFill/>
                      <a:prstDash/>
                    </a:ln>
                  </pic:spPr>
                </pic:pic>
              </a:graphicData>
            </a:graphic>
          </wp:inline>
        </w:drawing>
      </w:r>
    </w:p>
    <w:p w:rsidR="00E85D42" w:rsidRDefault="008113B9">
      <w:pPr>
        <w:pStyle w:val="Standarduser"/>
        <w:tabs>
          <w:tab w:val="left" w:pos="1134"/>
        </w:tabs>
        <w:spacing w:before="120" w:line="288" w:lineRule="auto"/>
        <w:ind w:firstLine="709"/>
        <w:jc w:val="both"/>
      </w:pPr>
      <w:r>
        <w:t>Рас</w:t>
      </w:r>
      <w:r>
        <w:t xml:space="preserve">чет земельных участков, предназначенных для размещения </w:t>
      </w:r>
      <w:r>
        <w:rPr>
          <w:b/>
          <w:color w:val="212529"/>
        </w:rPr>
        <w:t>объектов жилой застройки (многоэтажной и среднеэтажной), расположенных в сельских населенных пунктах Республики Башкортостан</w:t>
      </w:r>
      <w:r>
        <w:rPr>
          <w:color w:val="212529"/>
        </w:rPr>
        <w:t xml:space="preserve"> произведен на основании модели, использованной для расчета кадастровой стоим</w:t>
      </w:r>
      <w:r>
        <w:rPr>
          <w:color w:val="212529"/>
        </w:rPr>
        <w:t xml:space="preserve">ости </w:t>
      </w:r>
      <w:r>
        <w:rPr>
          <w:b/>
        </w:rPr>
        <w:t xml:space="preserve">земельных участков, предназначенных для размещения </w:t>
      </w:r>
      <w:r>
        <w:rPr>
          <w:color w:val="212529"/>
        </w:rPr>
        <w:t>объектов индивидуальной жилой застройки</w:t>
      </w:r>
      <w:r>
        <w:rPr>
          <w:b/>
          <w:color w:val="212529"/>
        </w:rPr>
        <w:t xml:space="preserve">, расположенных в сельских населенных пунктах Республики Башкортостан </w:t>
      </w:r>
      <w:r>
        <w:rPr>
          <w:color w:val="212529"/>
        </w:rPr>
        <w:t>с корректировкой полученных результатов на «Разрешенное использование земельного участка»</w:t>
      </w:r>
      <w:r>
        <w:rPr>
          <w:rStyle w:val="af4"/>
          <w:color w:val="212529"/>
        </w:rPr>
        <w:footnoteReference w:id="25"/>
      </w:r>
    </w:p>
    <w:p w:rsidR="00E85D42" w:rsidRDefault="008113B9">
      <w:pPr>
        <w:pStyle w:val="Standarduser"/>
        <w:tabs>
          <w:tab w:val="left" w:pos="1134"/>
        </w:tabs>
        <w:spacing w:before="120" w:line="288" w:lineRule="auto"/>
        <w:jc w:val="both"/>
      </w:pPr>
      <w:r>
        <w:rPr>
          <w:noProof/>
          <w:lang w:eastAsia="ru-RU"/>
        </w:rPr>
        <w:drawing>
          <wp:inline distT="0" distB="0" distL="0" distR="0">
            <wp:extent cx="6031226" cy="1392558"/>
            <wp:effectExtent l="0" t="0" r="7624" b="0"/>
            <wp:docPr id="141" name="Рисунок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6031226" cy="1392558"/>
                    </a:xfrm>
                    <a:prstGeom prst="rect">
                      <a:avLst/>
                    </a:prstGeom>
                    <a:noFill/>
                    <a:ln>
                      <a:noFill/>
                      <a:prstDash/>
                    </a:ln>
                  </pic:spPr>
                </pic:pic>
              </a:graphicData>
            </a:graphic>
          </wp:inline>
        </w:drawing>
      </w:r>
      <w:r>
        <w:rPr>
          <w:noProof/>
          <w:lang w:eastAsia="ru-RU"/>
        </w:rPr>
        <w:drawing>
          <wp:inline distT="0" distB="0" distL="0" distR="0">
            <wp:extent cx="6031226" cy="1822454"/>
            <wp:effectExtent l="0" t="0" r="7624" b="6346"/>
            <wp:docPr id="142" name="Рисунок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6031226" cy="1822454"/>
                    </a:xfrm>
                    <a:prstGeom prst="rect">
                      <a:avLst/>
                    </a:prstGeom>
                    <a:noFill/>
                    <a:ln>
                      <a:noFill/>
                      <a:prstDash/>
                    </a:ln>
                  </pic:spPr>
                </pic:pic>
              </a:graphicData>
            </a:graphic>
          </wp:inline>
        </w:drawing>
      </w:r>
      <w:r>
        <w:rPr>
          <w:noProof/>
          <w:lang w:eastAsia="ru-RU"/>
        </w:rPr>
        <w:drawing>
          <wp:inline distT="0" distB="0" distL="0" distR="0">
            <wp:extent cx="6031226" cy="905512"/>
            <wp:effectExtent l="0" t="0" r="7624" b="8888"/>
            <wp:docPr id="143" name="Рисунок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6031226" cy="905512"/>
                    </a:xfrm>
                    <a:prstGeom prst="rect">
                      <a:avLst/>
                    </a:prstGeom>
                    <a:noFill/>
                    <a:ln>
                      <a:noFill/>
                      <a:prstDash/>
                    </a:ln>
                  </pic:spPr>
                </pic:pic>
              </a:graphicData>
            </a:graphic>
          </wp:inline>
        </w:drawing>
      </w:r>
    </w:p>
    <w:p w:rsidR="00E85D42" w:rsidRDefault="008113B9">
      <w:pPr>
        <w:pStyle w:val="Standarduser"/>
        <w:tabs>
          <w:tab w:val="left" w:pos="1134"/>
        </w:tabs>
        <w:spacing w:before="120" w:line="288" w:lineRule="auto"/>
        <w:jc w:val="both"/>
      </w:pPr>
      <w:r>
        <w:rPr>
          <w:rFonts w:eastAsia="Calibri"/>
          <w:lang w:eastAsia="en-US"/>
        </w:rPr>
        <w:t xml:space="preserve">Описание </w:t>
      </w:r>
      <w:r>
        <w:rPr>
          <w:color w:val="212529"/>
        </w:rPr>
        <w:t xml:space="preserve">модели, использованной для расчета кадастровой стоимости </w:t>
      </w:r>
      <w:r>
        <w:rPr>
          <w:b/>
        </w:rPr>
        <w:t xml:space="preserve">земельных участков, предназначенных для размещения </w:t>
      </w:r>
      <w:r>
        <w:rPr>
          <w:color w:val="212529"/>
        </w:rPr>
        <w:t>объектов индивидуальной жилой застройки</w:t>
      </w:r>
      <w:r>
        <w:rPr>
          <w:b/>
          <w:color w:val="212529"/>
        </w:rPr>
        <w:t xml:space="preserve">, расположенных в сельских населенных пунктах Республики Башкортостан </w:t>
      </w:r>
      <w:r>
        <w:rPr>
          <w:color w:val="212529"/>
        </w:rPr>
        <w:t>приведено в разделе 3.6.13 настоящего Отчета.</w:t>
      </w:r>
    </w:p>
    <w:p w:rsidR="00E85D42" w:rsidRDefault="008113B9">
      <w:pPr>
        <w:pStyle w:val="Standarduser"/>
        <w:tabs>
          <w:tab w:val="left" w:pos="1134"/>
        </w:tabs>
        <w:spacing w:before="120" w:line="288" w:lineRule="auto"/>
        <w:jc w:val="both"/>
      </w:pPr>
      <w:r>
        <w:rPr>
          <w:rFonts w:eastAsia="Calibri"/>
          <w:lang w:eastAsia="en-US"/>
        </w:rPr>
        <w:t>Результаты определения кадастровой стоимости земел</w:t>
      </w:r>
      <w:r>
        <w:rPr>
          <w:rFonts w:eastAsia="Calibri"/>
          <w:lang w:eastAsia="en-US"/>
        </w:rPr>
        <w:t xml:space="preserve">ьных участков, отнесенных по виду использования к сегменту </w:t>
      </w:r>
      <w:r>
        <w:rPr>
          <w:rFonts w:eastAsia="Calibri"/>
          <w:b/>
          <w:lang w:eastAsia="en-US"/>
        </w:rPr>
        <w:t>«Жилая застройка (среднеэтажная и многоэтажная)"</w:t>
      </w:r>
      <w:r>
        <w:rPr>
          <w:rFonts w:eastAsia="Calibri"/>
          <w:lang w:eastAsia="en-US"/>
        </w:rPr>
        <w:t>, представлены в приложении 2.</w:t>
      </w:r>
    </w:p>
    <w:p w:rsidR="00E85D42" w:rsidRDefault="008113B9">
      <w:pPr>
        <w:pStyle w:val="8"/>
        <w:numPr>
          <w:ilvl w:val="2"/>
          <w:numId w:val="22"/>
        </w:numPr>
        <w:ind w:left="567"/>
      </w:pPr>
      <w:r>
        <w:rPr>
          <w:b/>
          <w:sz w:val="24"/>
        </w:rPr>
        <w:t>Расчет кадастровой стоимости земельных участков, отнесенных по виду разрешенного использования к сегменту</w:t>
      </w:r>
      <w:r>
        <w:rPr>
          <w:rFonts w:eastAsia="Calibri"/>
          <w:b/>
          <w:sz w:val="24"/>
          <w:lang w:eastAsia="en-US"/>
        </w:rPr>
        <w:t xml:space="preserve"> «Общественно</w:t>
      </w:r>
      <w:r>
        <w:rPr>
          <w:rFonts w:eastAsia="Calibri"/>
          <w:b/>
          <w:sz w:val="24"/>
          <w:lang w:eastAsia="en-US"/>
        </w:rPr>
        <w:t>е использование": 01:143; 03:010; 03:013; 03:020; 03:021; 03:022; 03:023; 03:030; 03:031; 03:032; 03:033; 03:034; 03:035; 03:040; 03:041; 03:042; 03:050; 03:051; 03:052; 03:060; 03:061; 03:062; 03:065; 03:070; 03:071; 03:072; 03:073; 03:080; 03:081; 03:082</w:t>
      </w:r>
      <w:r>
        <w:rPr>
          <w:rFonts w:eastAsia="Calibri"/>
          <w:b/>
          <w:sz w:val="24"/>
          <w:lang w:eastAsia="en-US"/>
        </w:rPr>
        <w:t>; 03:083; 03:090; 03:091; 03:092; 03:100; 03:101; 03:102; 03:103; 03:104; 05:010; 05:011; 05:012; 05:020; 05:021; 05:051; 07:021; 07:022; 08:022; 08:030; 08:041; 09:030;03:000</w:t>
      </w:r>
    </w:p>
    <w:p w:rsidR="00E85D42" w:rsidRDefault="00E85D42">
      <w:pPr>
        <w:rPr>
          <w:rFonts w:eastAsia="Calibri"/>
          <w:lang w:eastAsia="en-US"/>
        </w:rPr>
      </w:pPr>
    </w:p>
    <w:p w:rsidR="00E85D42" w:rsidRDefault="008113B9">
      <w:pPr>
        <w:pStyle w:val="affffc"/>
        <w:ind w:firstLine="709"/>
        <w:jc w:val="both"/>
      </w:pPr>
      <w:r>
        <w:rPr>
          <w:rFonts w:ascii="Times New Roman" w:eastAsia="Times New Roman" w:hAnsi="Times New Roman"/>
          <w:i/>
          <w:sz w:val="24"/>
          <w:szCs w:val="24"/>
        </w:rPr>
        <w:t xml:space="preserve">Определение кадастровой стоимости земельных участков с видами использования </w:t>
      </w:r>
      <w:r>
        <w:rPr>
          <w:rStyle w:val="inlinelabel"/>
          <w:rFonts w:ascii="Times New Roman" w:hAnsi="Times New Roman"/>
          <w:i/>
          <w:sz w:val="24"/>
          <w:szCs w:val="24"/>
        </w:rPr>
        <w:t>03:</w:t>
      </w:r>
      <w:r>
        <w:rPr>
          <w:rStyle w:val="inlinelabel"/>
          <w:rFonts w:ascii="Times New Roman" w:hAnsi="Times New Roman"/>
          <w:i/>
          <w:sz w:val="24"/>
          <w:szCs w:val="24"/>
        </w:rPr>
        <w:t xml:space="preserve">000, 03:010, 03:013, 03:030, 03:031, 03:032, 03:033, 03:034, 03:035, 03:065, 03:080, 03:081, 03:082, 03:083, 03:104, </w:t>
      </w:r>
      <w:r>
        <w:rPr>
          <w:rFonts w:ascii="Times New Roman" w:hAnsi="Times New Roman"/>
          <w:sz w:val="24"/>
          <w:szCs w:val="24"/>
        </w:rPr>
        <w:t xml:space="preserve">в соответствии с методическими указаниями, утвержденных приказом министерства экономического развития Российской Федерации от 12.05.2017 № </w:t>
      </w:r>
      <w:r>
        <w:rPr>
          <w:rFonts w:ascii="Times New Roman" w:hAnsi="Times New Roman"/>
          <w:sz w:val="24"/>
          <w:szCs w:val="24"/>
        </w:rPr>
        <w:t xml:space="preserve">226 осуществляются на основе построения статистических моделей расчета кадастровой стоимости земельных участков в следующем порядке: </w:t>
      </w:r>
    </w:p>
    <w:p w:rsidR="00E85D42" w:rsidRDefault="008113B9">
      <w:pPr>
        <w:pStyle w:val="af0"/>
        <w:spacing w:after="0"/>
        <w:ind w:left="0" w:firstLine="720"/>
        <w:rPr>
          <w:sz w:val="24"/>
        </w:rPr>
      </w:pPr>
      <w:r>
        <w:rPr>
          <w:sz w:val="24"/>
        </w:rPr>
        <w:t>– определение состава факторов стоимости земельных участков;</w:t>
      </w:r>
    </w:p>
    <w:p w:rsidR="00E85D42" w:rsidRDefault="008113B9">
      <w:pPr>
        <w:pStyle w:val="af0"/>
        <w:spacing w:after="0"/>
        <w:ind w:left="0" w:firstLine="720"/>
        <w:rPr>
          <w:sz w:val="24"/>
        </w:rPr>
      </w:pPr>
      <w:r>
        <w:rPr>
          <w:sz w:val="24"/>
        </w:rPr>
        <w:t>– сбор сведений о значениях факторов стоимости земельных учас</w:t>
      </w:r>
      <w:r>
        <w:rPr>
          <w:sz w:val="24"/>
        </w:rPr>
        <w:t>тков;</w:t>
      </w:r>
    </w:p>
    <w:p w:rsidR="00E85D42" w:rsidRDefault="008113B9">
      <w:pPr>
        <w:pStyle w:val="af0"/>
        <w:spacing w:after="0"/>
        <w:ind w:left="0" w:firstLine="720"/>
        <w:rPr>
          <w:sz w:val="24"/>
        </w:rPr>
      </w:pPr>
      <w:r>
        <w:rPr>
          <w:sz w:val="24"/>
        </w:rPr>
        <w:t>– создание слоев цифровых тематических карт населенных пунктов;</w:t>
      </w:r>
    </w:p>
    <w:p w:rsidR="00E85D42" w:rsidRDefault="008113B9">
      <w:pPr>
        <w:pStyle w:val="af0"/>
        <w:spacing w:after="0"/>
        <w:ind w:left="0" w:firstLine="720"/>
        <w:rPr>
          <w:sz w:val="24"/>
        </w:rPr>
      </w:pPr>
      <w:r>
        <w:rPr>
          <w:sz w:val="24"/>
        </w:rPr>
        <w:t>– группировка земельных участков в составе земель населенных пунктов;</w:t>
      </w:r>
    </w:p>
    <w:p w:rsidR="00E85D42" w:rsidRDefault="008113B9">
      <w:pPr>
        <w:pStyle w:val="af0"/>
        <w:spacing w:after="0"/>
        <w:ind w:left="0" w:firstLine="720"/>
        <w:rPr>
          <w:sz w:val="24"/>
        </w:rPr>
      </w:pPr>
      <w:r>
        <w:rPr>
          <w:sz w:val="24"/>
        </w:rPr>
        <w:t>– сбор достаточной и достоверной рыночной информации о земельных участках для каждой сформированной группы;</w:t>
      </w:r>
    </w:p>
    <w:p w:rsidR="00E85D42" w:rsidRDefault="008113B9">
      <w:pPr>
        <w:pStyle w:val="af0"/>
        <w:spacing w:after="0"/>
        <w:ind w:left="0" w:firstLine="720"/>
        <w:rPr>
          <w:sz w:val="24"/>
        </w:rPr>
      </w:pPr>
      <w:r>
        <w:rPr>
          <w:sz w:val="24"/>
        </w:rPr>
        <w:t>– постро</w:t>
      </w:r>
      <w:r>
        <w:rPr>
          <w:sz w:val="24"/>
        </w:rPr>
        <w:t>ение статистических моделей расчета кадастровой стоимости для каждой сформированной группы земельных участков;</w:t>
      </w:r>
    </w:p>
    <w:p w:rsidR="00E85D42" w:rsidRDefault="008113B9">
      <w:pPr>
        <w:pStyle w:val="af0"/>
        <w:spacing w:after="0"/>
        <w:ind w:left="0" w:firstLine="720"/>
        <w:rPr>
          <w:sz w:val="24"/>
        </w:rPr>
      </w:pPr>
      <w:r>
        <w:rPr>
          <w:sz w:val="24"/>
        </w:rPr>
        <w:t>– расчет кадастровой стоимости земельных участков.</w:t>
      </w:r>
    </w:p>
    <w:p w:rsidR="00E85D42" w:rsidRDefault="00E85D42">
      <w:pPr>
        <w:pStyle w:val="af0"/>
        <w:spacing w:after="0"/>
        <w:ind w:left="0" w:firstLine="720"/>
        <w:rPr>
          <w:b/>
          <w:sz w:val="24"/>
        </w:rPr>
      </w:pPr>
    </w:p>
    <w:p w:rsidR="00E85D42" w:rsidRDefault="008113B9">
      <w:pPr>
        <w:pStyle w:val="af0"/>
        <w:spacing w:after="0"/>
        <w:ind w:left="0" w:firstLine="720"/>
        <w:rPr>
          <w:i/>
          <w:sz w:val="24"/>
        </w:rPr>
      </w:pPr>
      <w:r>
        <w:rPr>
          <w:i/>
          <w:sz w:val="24"/>
        </w:rPr>
        <w:t>Определение состава факторов стоимости земельных участков для каждого вида разрешенного испол</w:t>
      </w:r>
      <w:r>
        <w:rPr>
          <w:i/>
          <w:sz w:val="24"/>
        </w:rPr>
        <w:t>ьзования земельных участков.</w:t>
      </w:r>
    </w:p>
    <w:p w:rsidR="00E85D42" w:rsidRDefault="008113B9">
      <w:pPr>
        <w:pStyle w:val="af0"/>
        <w:spacing w:after="0"/>
        <w:ind w:left="0" w:firstLine="708"/>
        <w:rPr>
          <w:sz w:val="24"/>
        </w:rPr>
      </w:pPr>
      <w:r>
        <w:rPr>
          <w:sz w:val="24"/>
        </w:rPr>
        <w:t xml:space="preserve">На основе Примерного перечня ценообразующих факторов земельных участков (Приложение 3 к Методическим указаниям) были определены факторы, которые в основном влияют на рыночную стоимость объектов оценки и фактор, оказывающий </w:t>
      </w:r>
      <w:r>
        <w:rPr>
          <w:sz w:val="24"/>
        </w:rPr>
        <w:t>наибольшее влияние. Кроме того, введены дополнительные факторы, не предусмотренные Методическими указаниями. Описание, а также обоснование использования, либо отказа от использования ценообразующих факторов описаны в п.п. 3.1.7 настоящего Отчета.</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Сбор све</w:t>
      </w:r>
      <w:r>
        <w:rPr>
          <w:i/>
          <w:sz w:val="24"/>
          <w:szCs w:val="24"/>
        </w:rPr>
        <w:t>дений о значениях факторов стоимости земельных участков по каждому виду разрешенного использования.</w:t>
      </w:r>
    </w:p>
    <w:p w:rsidR="00E85D42" w:rsidRDefault="008113B9">
      <w:pPr>
        <w:ind w:firstLine="720"/>
        <w:jc w:val="both"/>
        <w:rPr>
          <w:sz w:val="24"/>
          <w:szCs w:val="24"/>
        </w:rPr>
      </w:pPr>
      <w:r>
        <w:rPr>
          <w:sz w:val="24"/>
          <w:szCs w:val="24"/>
        </w:rPr>
        <w:t xml:space="preserve">Источниками информации о значениях факторов стоимости являются администрации муниципальных образований. </w:t>
      </w:r>
    </w:p>
    <w:p w:rsidR="00E85D42" w:rsidRDefault="008113B9">
      <w:pPr>
        <w:ind w:firstLine="720"/>
        <w:jc w:val="both"/>
        <w:rPr>
          <w:sz w:val="24"/>
          <w:szCs w:val="24"/>
        </w:rPr>
      </w:pPr>
      <w:r>
        <w:rPr>
          <w:sz w:val="24"/>
          <w:szCs w:val="24"/>
        </w:rPr>
        <w:t>Ответы на запросы о значении факторов стоимости пол</w:t>
      </w:r>
      <w:r>
        <w:rPr>
          <w:sz w:val="24"/>
          <w:szCs w:val="24"/>
        </w:rPr>
        <w:t>учены в виде картографического и семантического материала, выполненного на бумажной основе. В соответствии с данными, отраженными на картографическом материале источником информации, в целях определения значений факторов стоимости земельных участков, Испол</w:t>
      </w:r>
      <w:r>
        <w:rPr>
          <w:sz w:val="24"/>
          <w:szCs w:val="24"/>
        </w:rPr>
        <w:t>нителем работ в формате MapInfo сформированы цифровые тематические карты, содержащие информацию об объектах, характеризующих территорию в разрезе факторов стоимости.</w:t>
      </w:r>
    </w:p>
    <w:p w:rsidR="00E85D42" w:rsidRDefault="008113B9">
      <w:pPr>
        <w:pStyle w:val="af0"/>
        <w:spacing w:after="0"/>
        <w:ind w:left="0"/>
        <w:rPr>
          <w:sz w:val="24"/>
        </w:rPr>
      </w:pPr>
      <w:r>
        <w:rPr>
          <w:sz w:val="24"/>
        </w:rPr>
        <w:t>Информация о факторах «Численность населения в населенных пунктах», «Численность населения</w:t>
      </w:r>
      <w:r>
        <w:rPr>
          <w:sz w:val="24"/>
        </w:rPr>
        <w:t xml:space="preserve"> в муниципальном районе, городском округе», «Среднемесячная заработная плата» собрана самостоятельно, на основании сведений органа Федеральной службы государственной статистики по Республике Башкортостан.</w:t>
      </w:r>
    </w:p>
    <w:p w:rsidR="00E85D42" w:rsidRDefault="00E85D42">
      <w:pPr>
        <w:pStyle w:val="af0"/>
        <w:spacing w:after="0"/>
        <w:ind w:left="0"/>
        <w:rPr>
          <w:sz w:val="24"/>
        </w:rPr>
      </w:pPr>
    </w:p>
    <w:p w:rsidR="00E85D42" w:rsidRDefault="008113B9">
      <w:pPr>
        <w:ind w:firstLine="720"/>
        <w:jc w:val="both"/>
        <w:rPr>
          <w:i/>
          <w:sz w:val="24"/>
          <w:szCs w:val="24"/>
        </w:rPr>
      </w:pPr>
      <w:r>
        <w:rPr>
          <w:i/>
          <w:sz w:val="24"/>
          <w:szCs w:val="24"/>
        </w:rPr>
        <w:t>Создание слоев цифровых тематических карт населенн</w:t>
      </w:r>
      <w:r>
        <w:rPr>
          <w:i/>
          <w:sz w:val="24"/>
          <w:szCs w:val="24"/>
        </w:rPr>
        <w:t>ых пунктов.</w:t>
      </w:r>
    </w:p>
    <w:p w:rsidR="00E85D42" w:rsidRDefault="008113B9">
      <w:pPr>
        <w:ind w:firstLine="720"/>
        <w:jc w:val="both"/>
        <w:rPr>
          <w:sz w:val="24"/>
          <w:szCs w:val="24"/>
        </w:rPr>
      </w:pPr>
      <w:r>
        <w:rPr>
          <w:sz w:val="24"/>
          <w:szCs w:val="24"/>
        </w:rPr>
        <w:t>Цифровые тематические карты населенных пунктов формируются в целях определения значений факторов стоимости земельных участков и отображения результатов государственной кадастровой оценки земель населенных пунктов.</w:t>
      </w:r>
    </w:p>
    <w:p w:rsidR="00E85D42" w:rsidRDefault="008113B9">
      <w:pPr>
        <w:ind w:firstLine="720"/>
        <w:jc w:val="both"/>
        <w:rPr>
          <w:i/>
          <w:sz w:val="24"/>
          <w:szCs w:val="24"/>
        </w:rPr>
      </w:pPr>
      <w:r>
        <w:rPr>
          <w:i/>
          <w:sz w:val="24"/>
          <w:szCs w:val="24"/>
        </w:rPr>
        <w:t>Группировка земельных участков</w:t>
      </w:r>
      <w:r>
        <w:rPr>
          <w:i/>
          <w:sz w:val="24"/>
          <w:szCs w:val="24"/>
        </w:rPr>
        <w:t xml:space="preserve"> в составе земель населенных пунктов.</w:t>
      </w:r>
    </w:p>
    <w:p w:rsidR="00E85D42" w:rsidRDefault="008113B9">
      <w:pPr>
        <w:pStyle w:val="af0"/>
        <w:spacing w:after="0"/>
        <w:ind w:left="0" w:firstLine="720"/>
        <w:rPr>
          <w:sz w:val="24"/>
        </w:rPr>
      </w:pPr>
      <w:r>
        <w:rPr>
          <w:sz w:val="24"/>
        </w:rPr>
        <w:t>В целях расчета кадастровой стоимости земельных участков объекты оценки выделены в расчетные группы.</w:t>
      </w:r>
    </w:p>
    <w:p w:rsidR="00E85D42" w:rsidRDefault="008113B9">
      <w:pPr>
        <w:pStyle w:val="af0"/>
        <w:spacing w:after="0"/>
        <w:ind w:left="0" w:firstLine="720"/>
        <w:rPr>
          <w:sz w:val="24"/>
        </w:rPr>
      </w:pPr>
      <w:r>
        <w:rPr>
          <w:sz w:val="24"/>
        </w:rPr>
        <w:t>Группировка земельных участков в городских населенных пунктах проведена по фактору – «Графическая привязка». Использо</w:t>
      </w:r>
      <w:r>
        <w:rPr>
          <w:sz w:val="24"/>
        </w:rPr>
        <w:t>вание данного фактора позволило провести группировку таким образом, чтобы в одной группе находились объекты оценки, которые возможно рассчитать на основании известных значений ценообразующих факторов. Объекты, привязка которых к цифровой тематической карте</w:t>
      </w:r>
      <w:r>
        <w:rPr>
          <w:sz w:val="24"/>
        </w:rPr>
        <w:t xml:space="preserve"> невозможна или объекты расположены за границей населенного пункта, и, следовательно, невозможен расчет значений ценообразующих факторов, выделены в отдельную группу (Минимальный УПКС или Средний УПКС. Для данных объектов расчет проводится методом УПКС, ис</w:t>
      </w:r>
      <w:r>
        <w:rPr>
          <w:sz w:val="24"/>
        </w:rPr>
        <w:t>ходя из рассчитанных средних или минимальных значений УПКС для квартала или муниципального образования.</w:t>
      </w:r>
    </w:p>
    <w:p w:rsidR="00E85D42" w:rsidRDefault="008113B9">
      <w:pPr>
        <w:pStyle w:val="af0"/>
        <w:spacing w:after="0"/>
        <w:ind w:left="0" w:firstLine="720"/>
        <w:rPr>
          <w:sz w:val="24"/>
        </w:rPr>
      </w:pPr>
      <w:r>
        <w:rPr>
          <w:sz w:val="24"/>
        </w:rPr>
        <w:t>После выделения объектов с рассчитанными значениями ценообразующих факторов группировка земельных участков в городских населенных пунктах проведена по ф</w:t>
      </w:r>
      <w:r>
        <w:rPr>
          <w:sz w:val="24"/>
        </w:rPr>
        <w:t>актору – «Численность в населенных пунктах». Использование данного фактора позволило провести группировку таким образом, чтобы в одной группе находились объекты оценки, которые сопоставимы по основным ценнообразующим факторам.</w:t>
      </w:r>
    </w:p>
    <w:p w:rsidR="00E85D42" w:rsidRDefault="008113B9">
      <w:pPr>
        <w:pStyle w:val="af0"/>
        <w:spacing w:after="0"/>
        <w:ind w:left="0" w:firstLine="720"/>
        <w:rPr>
          <w:sz w:val="24"/>
        </w:rPr>
      </w:pPr>
      <w:r>
        <w:rPr>
          <w:sz w:val="24"/>
        </w:rPr>
        <w:t>Группировка земельных участко</w:t>
      </w:r>
      <w:r>
        <w:rPr>
          <w:sz w:val="24"/>
        </w:rPr>
        <w:t>в в сельских населенных пунктах проведена по фактору – «Статус НП». Использование данного фактора позволило провести группировку таким образом, чтобы в одной группе находились объекты оценки, которые сопоставимы по основным ценнообразующим факторам.</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 xml:space="preserve">Сбор </w:t>
      </w:r>
      <w:r>
        <w:rPr>
          <w:i/>
          <w:sz w:val="24"/>
          <w:szCs w:val="24"/>
        </w:rPr>
        <w:t>достаточной и достоверной рыночной информации о земельных участках для каждой сформированной группы.</w:t>
      </w:r>
    </w:p>
    <w:p w:rsidR="00E85D42" w:rsidRDefault="008113B9">
      <w:pPr>
        <w:ind w:firstLine="720"/>
        <w:jc w:val="both"/>
        <w:rPr>
          <w:sz w:val="24"/>
          <w:szCs w:val="24"/>
        </w:rPr>
      </w:pPr>
      <w:r>
        <w:rPr>
          <w:sz w:val="24"/>
          <w:szCs w:val="24"/>
        </w:rPr>
        <w:t>Сбор рыночной информации включает в себя следующие этапы:</w:t>
      </w:r>
    </w:p>
    <w:p w:rsidR="00E85D42" w:rsidRDefault="008113B9">
      <w:pPr>
        <w:ind w:firstLine="720"/>
        <w:jc w:val="both"/>
        <w:rPr>
          <w:sz w:val="24"/>
          <w:szCs w:val="24"/>
        </w:rPr>
      </w:pPr>
      <w:r>
        <w:rPr>
          <w:sz w:val="24"/>
          <w:szCs w:val="24"/>
        </w:rPr>
        <w:t>– определение и выбор источников рыночной информации и проверка их достоверности;</w:t>
      </w:r>
    </w:p>
    <w:p w:rsidR="00E85D42" w:rsidRDefault="008113B9">
      <w:pPr>
        <w:ind w:firstLine="720"/>
        <w:jc w:val="both"/>
        <w:rPr>
          <w:sz w:val="24"/>
          <w:szCs w:val="24"/>
        </w:rPr>
      </w:pPr>
      <w:r>
        <w:rPr>
          <w:sz w:val="24"/>
          <w:szCs w:val="24"/>
        </w:rPr>
        <w:t>– статистически</w:t>
      </w:r>
      <w:r>
        <w:rPr>
          <w:sz w:val="24"/>
          <w:szCs w:val="24"/>
        </w:rPr>
        <w:t>й анализ рыночных данных.</w:t>
      </w:r>
    </w:p>
    <w:p w:rsidR="00E85D42" w:rsidRDefault="008113B9">
      <w:pPr>
        <w:ind w:firstLine="720"/>
        <w:jc w:val="both"/>
        <w:rPr>
          <w:sz w:val="24"/>
          <w:szCs w:val="24"/>
        </w:rPr>
      </w:pPr>
      <w:r>
        <w:rPr>
          <w:sz w:val="24"/>
          <w:szCs w:val="24"/>
        </w:rPr>
        <w:t>При сборе, анализе рыночной информации о земельных участках и использовании ее в процессе моделирования выявляются выбросы.</w:t>
      </w:r>
    </w:p>
    <w:p w:rsidR="00E85D42" w:rsidRDefault="008113B9">
      <w:pPr>
        <w:ind w:firstLine="720"/>
        <w:jc w:val="both"/>
        <w:rPr>
          <w:sz w:val="24"/>
          <w:szCs w:val="24"/>
        </w:rPr>
      </w:pPr>
      <w:r>
        <w:rPr>
          <w:sz w:val="24"/>
          <w:szCs w:val="24"/>
        </w:rPr>
        <w:t>Появление выбросов обусловлено следующим:</w:t>
      </w:r>
    </w:p>
    <w:p w:rsidR="00E85D42" w:rsidRDefault="008113B9">
      <w:pPr>
        <w:ind w:firstLine="720"/>
        <w:jc w:val="both"/>
        <w:rPr>
          <w:sz w:val="24"/>
          <w:szCs w:val="24"/>
        </w:rPr>
      </w:pPr>
      <w:r>
        <w:rPr>
          <w:sz w:val="24"/>
          <w:szCs w:val="24"/>
        </w:rPr>
        <w:t>- недостоверные сведения об объектах-аналогах в источниках.</w:t>
      </w:r>
    </w:p>
    <w:p w:rsidR="00E85D42" w:rsidRDefault="008113B9">
      <w:pPr>
        <w:ind w:firstLine="720"/>
        <w:jc w:val="both"/>
        <w:rPr>
          <w:sz w:val="24"/>
          <w:szCs w:val="24"/>
        </w:rPr>
      </w:pPr>
      <w:r>
        <w:rPr>
          <w:sz w:val="24"/>
          <w:szCs w:val="24"/>
        </w:rPr>
        <w:t>- пр</w:t>
      </w:r>
      <w:r>
        <w:rPr>
          <w:sz w:val="24"/>
          <w:szCs w:val="24"/>
        </w:rPr>
        <w:t xml:space="preserve">и выделении доли земельного участка их единого объекта недвижимости не учитываются индивидуальные особенности каждого из объектов. </w:t>
      </w:r>
    </w:p>
    <w:p w:rsidR="00E85D42" w:rsidRDefault="008113B9">
      <w:pPr>
        <w:ind w:firstLine="720"/>
        <w:jc w:val="both"/>
        <w:rPr>
          <w:sz w:val="24"/>
          <w:szCs w:val="24"/>
        </w:rPr>
      </w:pPr>
      <w:r>
        <w:rPr>
          <w:sz w:val="24"/>
          <w:szCs w:val="24"/>
        </w:rPr>
        <w:t>Эти факторы приводят к снижению точности рыночной информации и расширению диапазона значений стоимости объектов-аналогов (пр</w:t>
      </w:r>
      <w:r>
        <w:rPr>
          <w:sz w:val="24"/>
          <w:szCs w:val="24"/>
        </w:rPr>
        <w:t>исутствуют дешевые и дорогие).</w:t>
      </w:r>
    </w:p>
    <w:p w:rsidR="00E85D42" w:rsidRDefault="008113B9">
      <w:pPr>
        <w:ind w:firstLine="720"/>
        <w:jc w:val="both"/>
        <w:rPr>
          <w:sz w:val="24"/>
          <w:szCs w:val="24"/>
        </w:rPr>
      </w:pPr>
      <w:r>
        <w:rPr>
          <w:sz w:val="24"/>
          <w:szCs w:val="24"/>
        </w:rPr>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w:t>
      </w:r>
      <w:r>
        <w:rPr>
          <w:sz w:val="24"/>
          <w:szCs w:val="24"/>
        </w:rPr>
        <w:t xml:space="preserve"> это равномерное распределение объектов-аналогов в ценовом диапазоне. При наличии противоречивой информации объекты-аналоги определяются как выбросы. Во время построения моделей также могут выявляться объекты-аналоги с недостоверной исходной информацией, к</w:t>
      </w:r>
      <w:r>
        <w:rPr>
          <w:sz w:val="24"/>
          <w:szCs w:val="24"/>
        </w:rPr>
        <w:t>оторые определяются как выбросы.</w:t>
      </w:r>
    </w:p>
    <w:p w:rsidR="00E85D42" w:rsidRDefault="00E85D42">
      <w:pPr>
        <w:ind w:firstLine="720"/>
        <w:jc w:val="both"/>
        <w:rPr>
          <w:i/>
          <w:sz w:val="24"/>
          <w:szCs w:val="24"/>
        </w:rPr>
      </w:pPr>
    </w:p>
    <w:p w:rsidR="00E85D42" w:rsidRDefault="008113B9">
      <w:pPr>
        <w:jc w:val="both"/>
      </w:pPr>
      <w:r>
        <w:rPr>
          <w:i/>
          <w:sz w:val="24"/>
          <w:szCs w:val="24"/>
        </w:rPr>
        <w:t>Построение статистических моделей расчета кадастровой стоимости для каждой группы земельных участков</w:t>
      </w:r>
      <w:r>
        <w:t>.</w:t>
      </w:r>
    </w:p>
    <w:p w:rsidR="00E85D42" w:rsidRDefault="008113B9">
      <w:pPr>
        <w:ind w:firstLine="720"/>
        <w:jc w:val="both"/>
        <w:rPr>
          <w:sz w:val="24"/>
          <w:szCs w:val="24"/>
        </w:rPr>
      </w:pPr>
      <w:r>
        <w:rPr>
          <w:sz w:val="24"/>
          <w:szCs w:val="24"/>
        </w:rPr>
        <w:t>Построение статистических моделей расчета кадастровой стоимости земельных участков осуществляется в следующей последоват</w:t>
      </w:r>
      <w:r>
        <w:rPr>
          <w:sz w:val="24"/>
          <w:szCs w:val="24"/>
        </w:rPr>
        <w:t>ельности:</w:t>
      </w:r>
    </w:p>
    <w:p w:rsidR="00E85D42" w:rsidRDefault="008113B9">
      <w:pPr>
        <w:ind w:firstLine="720"/>
        <w:jc w:val="both"/>
        <w:rPr>
          <w:sz w:val="24"/>
          <w:szCs w:val="24"/>
        </w:rPr>
      </w:pPr>
      <w:r>
        <w:rPr>
          <w:sz w:val="24"/>
          <w:szCs w:val="24"/>
        </w:rPr>
        <w:t>– выбор факторов стоимости для построения моделей;</w:t>
      </w:r>
    </w:p>
    <w:p w:rsidR="00E85D42" w:rsidRDefault="008113B9">
      <w:pPr>
        <w:ind w:firstLine="720"/>
        <w:jc w:val="both"/>
        <w:rPr>
          <w:sz w:val="24"/>
          <w:szCs w:val="24"/>
        </w:rPr>
      </w:pPr>
      <w:r>
        <w:rPr>
          <w:sz w:val="24"/>
          <w:szCs w:val="24"/>
        </w:rPr>
        <w:t>– построение моделей расчета кадастровой стоимости земельных участков каждой сформированной группы;</w:t>
      </w:r>
    </w:p>
    <w:p w:rsidR="00E85D42" w:rsidRDefault="008113B9">
      <w:pPr>
        <w:ind w:firstLine="720"/>
        <w:jc w:val="both"/>
        <w:rPr>
          <w:sz w:val="24"/>
          <w:szCs w:val="24"/>
        </w:rPr>
      </w:pPr>
      <w:r>
        <w:rPr>
          <w:sz w:val="24"/>
          <w:szCs w:val="24"/>
        </w:rPr>
        <w:t xml:space="preserve">– анализ качества статистических моделей расчета кадастровой стоимости земельных участков в </w:t>
      </w:r>
      <w:r>
        <w:rPr>
          <w:sz w:val="24"/>
          <w:szCs w:val="24"/>
        </w:rPr>
        <w:t>составе земель населенных пунктов.</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Выбор факторов стоимости для построения моделей.</w:t>
      </w:r>
    </w:p>
    <w:p w:rsidR="00E85D42" w:rsidRDefault="008113B9">
      <w:pPr>
        <w:ind w:firstLine="709"/>
        <w:jc w:val="both"/>
        <w:rPr>
          <w:sz w:val="24"/>
          <w:szCs w:val="24"/>
        </w:rPr>
      </w:pPr>
      <w:r>
        <w:rPr>
          <w:sz w:val="24"/>
          <w:szCs w:val="24"/>
        </w:rPr>
        <w:t>На основании анализа рынка земельных участков, приведенного в разделе 2.4 настоящего Отчеты из состава факторов стоимости отбирался набор факторов, в наибольшей степени ок</w:t>
      </w:r>
      <w:r>
        <w:rPr>
          <w:sz w:val="24"/>
          <w:szCs w:val="24"/>
        </w:rPr>
        <w:t>азывающих влияние на стоимость земельных участков.</w:t>
      </w:r>
    </w:p>
    <w:p w:rsidR="00E85D42" w:rsidRDefault="008113B9">
      <w:pPr>
        <w:ind w:firstLine="709"/>
        <w:jc w:val="both"/>
        <w:rPr>
          <w:sz w:val="24"/>
          <w:szCs w:val="24"/>
        </w:rPr>
      </w:pPr>
      <w:r>
        <w:rPr>
          <w:sz w:val="24"/>
          <w:szCs w:val="24"/>
        </w:rPr>
        <w:t>Выбор факторов осуществлялся с использованием следующих методов (критериев):</w:t>
      </w:r>
    </w:p>
    <w:p w:rsidR="00E85D42" w:rsidRDefault="008113B9">
      <w:pPr>
        <w:tabs>
          <w:tab w:val="right" w:pos="900"/>
        </w:tabs>
        <w:ind w:firstLine="709"/>
        <w:jc w:val="both"/>
      </w:pPr>
      <w:r>
        <w:rPr>
          <w:sz w:val="24"/>
          <w:szCs w:val="24"/>
        </w:rPr>
        <w:t>1.</w:t>
      </w:r>
      <w:r>
        <w:rPr>
          <w:sz w:val="24"/>
          <w:szCs w:val="24"/>
        </w:rPr>
        <w:tab/>
      </w:r>
      <w:r>
        <w:rPr>
          <w:i/>
          <w:sz w:val="24"/>
          <w:szCs w:val="24"/>
        </w:rPr>
        <w:t>Критерий репрезентативности</w:t>
      </w:r>
      <w:r>
        <w:rPr>
          <w:b/>
          <w:sz w:val="24"/>
          <w:szCs w:val="24"/>
        </w:rPr>
        <w:t>.</w:t>
      </w:r>
      <w:r>
        <w:rPr>
          <w:sz w:val="24"/>
          <w:szCs w:val="24"/>
        </w:rPr>
        <w:t xml:space="preserve"> Проверка репрезентативности факторов стоимости осу</w:t>
      </w:r>
      <w:r>
        <w:rPr>
          <w:sz w:val="24"/>
          <w:szCs w:val="24"/>
        </w:rPr>
        <w:softHyphen/>
        <w:t>ществлялась с применением СПО. Фактор кластер</w:t>
      </w:r>
      <w:r>
        <w:rPr>
          <w:sz w:val="24"/>
          <w:szCs w:val="24"/>
        </w:rPr>
        <w:t>изации признается репрезентативным, если со</w:t>
      </w:r>
      <w:r>
        <w:rPr>
          <w:sz w:val="24"/>
          <w:szCs w:val="24"/>
        </w:rPr>
        <w:softHyphen/>
        <w:t>блюдается выполнение следующих условий:</w:t>
      </w:r>
    </w:p>
    <w:p w:rsidR="00E85D42" w:rsidRDefault="008113B9">
      <w:pPr>
        <w:numPr>
          <w:ilvl w:val="0"/>
          <w:numId w:val="32"/>
        </w:numPr>
        <w:tabs>
          <w:tab w:val="left" w:pos="900"/>
          <w:tab w:val="left" w:pos="1012"/>
        </w:tabs>
        <w:ind w:left="0" w:firstLine="709"/>
        <w:jc w:val="both"/>
        <w:rPr>
          <w:sz w:val="24"/>
          <w:szCs w:val="24"/>
        </w:rPr>
      </w:pPr>
      <w:r>
        <w:rPr>
          <w:sz w:val="24"/>
          <w:szCs w:val="24"/>
        </w:rPr>
        <w:t>для количественных факторов: диапазон значений фактора в выборке рыночных объек</w:t>
      </w:r>
      <w:r>
        <w:rPr>
          <w:sz w:val="24"/>
          <w:szCs w:val="24"/>
        </w:rPr>
        <w:softHyphen/>
        <w:t>тов должен совпадать с диапазоном значений фактора исходной выборки объектов оценки. При это</w:t>
      </w:r>
      <w:r>
        <w:rPr>
          <w:sz w:val="24"/>
          <w:szCs w:val="24"/>
        </w:rPr>
        <w:t>м структура наличия значений фактора на данном интервале не должна сильно отличаться у объектов оценки и рыноч</w:t>
      </w:r>
      <w:r>
        <w:rPr>
          <w:sz w:val="24"/>
          <w:szCs w:val="24"/>
        </w:rPr>
        <w:softHyphen/>
        <w:t>ной выборки;</w:t>
      </w:r>
    </w:p>
    <w:p w:rsidR="00E85D42" w:rsidRDefault="008113B9">
      <w:pPr>
        <w:numPr>
          <w:ilvl w:val="0"/>
          <w:numId w:val="32"/>
        </w:numPr>
        <w:tabs>
          <w:tab w:val="left" w:pos="900"/>
          <w:tab w:val="left" w:pos="1012"/>
        </w:tabs>
        <w:ind w:left="0" w:firstLine="709"/>
        <w:jc w:val="both"/>
        <w:rPr>
          <w:sz w:val="24"/>
          <w:szCs w:val="24"/>
        </w:rPr>
      </w:pPr>
      <w:r>
        <w:rPr>
          <w:sz w:val="24"/>
          <w:szCs w:val="24"/>
        </w:rPr>
        <w:t>для качественных факторов: каждое значение качественного фактора, присутствующее в исходной выборке объектов оценки, должно присутст</w:t>
      </w:r>
      <w:r>
        <w:rPr>
          <w:sz w:val="24"/>
          <w:szCs w:val="24"/>
        </w:rPr>
        <w:t>вовать хотя бы один раз в выборке рыноч</w:t>
      </w:r>
      <w:r>
        <w:rPr>
          <w:sz w:val="24"/>
          <w:szCs w:val="24"/>
        </w:rPr>
        <w:softHyphen/>
        <w:t>ных объектов, при этом для улучшения качества в выборке рыночных объектов желательно при</w:t>
      </w:r>
      <w:r>
        <w:rPr>
          <w:sz w:val="24"/>
          <w:szCs w:val="24"/>
        </w:rPr>
        <w:softHyphen/>
        <w:t>сутствие каждого значения качественного фактора не менее шести раз.</w:t>
      </w:r>
    </w:p>
    <w:p w:rsidR="00E85D42" w:rsidRDefault="008113B9">
      <w:pPr>
        <w:ind w:firstLine="709"/>
        <w:jc w:val="both"/>
      </w:pPr>
      <w:r>
        <w:rPr>
          <w:sz w:val="24"/>
          <w:szCs w:val="24"/>
        </w:rPr>
        <w:t xml:space="preserve">2. </w:t>
      </w:r>
      <w:r>
        <w:rPr>
          <w:i/>
          <w:sz w:val="24"/>
          <w:szCs w:val="24"/>
        </w:rPr>
        <w:t>Корреляционный анализ</w:t>
      </w:r>
      <w:r>
        <w:rPr>
          <w:sz w:val="24"/>
          <w:szCs w:val="24"/>
        </w:rPr>
        <w:t xml:space="preserve"> предполагает выбор в качестве </w:t>
      </w:r>
      <w:r>
        <w:rPr>
          <w:sz w:val="24"/>
          <w:szCs w:val="24"/>
        </w:rPr>
        <w:t>факторов для построения моде</w:t>
      </w:r>
      <w:r>
        <w:rPr>
          <w:sz w:val="24"/>
          <w:szCs w:val="24"/>
        </w:rPr>
        <w:softHyphen/>
        <w:t>лей тех факторов стоимости, которые в основном формируют стоимость земельных участков. С этой целью производился:</w:t>
      </w:r>
    </w:p>
    <w:p w:rsidR="00E85D42" w:rsidRDefault="008113B9">
      <w:pPr>
        <w:numPr>
          <w:ilvl w:val="0"/>
          <w:numId w:val="33"/>
        </w:numPr>
        <w:tabs>
          <w:tab w:val="left" w:pos="1080"/>
        </w:tabs>
        <w:ind w:left="0" w:firstLine="709"/>
        <w:jc w:val="both"/>
        <w:rPr>
          <w:sz w:val="24"/>
          <w:szCs w:val="24"/>
        </w:rPr>
      </w:pPr>
      <w:r>
        <w:rPr>
          <w:sz w:val="24"/>
          <w:szCs w:val="24"/>
        </w:rPr>
        <w:t>расчет коэффициентов корреляции факторов стоимости с рыночными стоимостями по формуле (1):</w:t>
      </w:r>
    </w:p>
    <w:p w:rsidR="00E85D42" w:rsidRDefault="008113B9">
      <w:pPr>
        <w:tabs>
          <w:tab w:val="right" w:pos="9360"/>
        </w:tabs>
        <w:ind w:firstLine="709"/>
        <w:jc w:val="both"/>
      </w:pPr>
      <w:r>
        <w:rPr>
          <w:sz w:val="24"/>
          <w:szCs w:val="24"/>
        </w:rPr>
        <w:object w:dxaOrig="5475" w:dyaOrig="1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273.75pt;height:67.5pt;visibility:visible;mso-wrap-style:square" o:ole="">
            <v:imagedata r:id="rId344" o:title=""/>
          </v:shape>
          <o:OLEObject Type="Embed" ProgID="Equation.3" ShapeID="Object 2" DrawAspect="Content" ObjectID="_1625914964" r:id="rId345"/>
        </w:object>
      </w:r>
      <w:r>
        <w:rPr>
          <w:sz w:val="24"/>
          <w:szCs w:val="24"/>
        </w:rPr>
        <w:t>,</w:t>
      </w:r>
      <w:r>
        <w:rPr>
          <w:sz w:val="24"/>
          <w:szCs w:val="24"/>
        </w:rPr>
        <w:tab/>
      </w:r>
    </w:p>
    <w:p w:rsidR="00E85D42" w:rsidRDefault="008113B9">
      <w:pPr>
        <w:ind w:firstLine="709"/>
        <w:jc w:val="both"/>
      </w:pPr>
      <w:r>
        <w:rPr>
          <w:sz w:val="24"/>
          <w:szCs w:val="24"/>
        </w:rPr>
        <w:t>где: r</w:t>
      </w:r>
      <w:r>
        <w:rPr>
          <w:sz w:val="24"/>
          <w:szCs w:val="24"/>
          <w:vertAlign w:val="subscript"/>
        </w:rPr>
        <w:t>kY</w:t>
      </w:r>
      <w:r>
        <w:rPr>
          <w:sz w:val="24"/>
          <w:szCs w:val="24"/>
        </w:rPr>
        <w:t xml:space="preserve"> – коэффициент корреляции k-го фактора X(k) с рыночной стоимостью Y земельно</w:t>
      </w:r>
      <w:r>
        <w:rPr>
          <w:sz w:val="24"/>
          <w:szCs w:val="24"/>
        </w:rPr>
        <w:softHyphen/>
        <w:t>го участка, N – количество объектов в обучающей выборке;</w:t>
      </w:r>
    </w:p>
    <w:p w:rsidR="00E85D42" w:rsidRDefault="008113B9">
      <w:pPr>
        <w:numPr>
          <w:ilvl w:val="0"/>
          <w:numId w:val="33"/>
        </w:numPr>
        <w:tabs>
          <w:tab w:val="left" w:pos="1080"/>
        </w:tabs>
        <w:ind w:left="0" w:firstLine="709"/>
        <w:jc w:val="both"/>
      </w:pPr>
      <w:r>
        <w:rPr>
          <w:sz w:val="24"/>
          <w:szCs w:val="24"/>
        </w:rPr>
        <w:t>расчет коэффициентов значимости R</w:t>
      </w:r>
      <w:r>
        <w:rPr>
          <w:sz w:val="24"/>
          <w:szCs w:val="24"/>
          <w:vertAlign w:val="subscript"/>
        </w:rPr>
        <w:t>k</w:t>
      </w:r>
      <w:r>
        <w:rPr>
          <w:sz w:val="24"/>
          <w:szCs w:val="24"/>
        </w:rPr>
        <w:t xml:space="preserve"> фактора X(k) по формуле:</w:t>
      </w:r>
    </w:p>
    <w:p w:rsidR="00E85D42" w:rsidRDefault="008113B9">
      <w:pPr>
        <w:tabs>
          <w:tab w:val="right" w:pos="9360"/>
        </w:tabs>
        <w:ind w:firstLine="709"/>
        <w:jc w:val="both"/>
      </w:pPr>
      <w:r>
        <w:rPr>
          <w:i/>
          <w:sz w:val="24"/>
          <w:szCs w:val="24"/>
        </w:rPr>
        <w:object w:dxaOrig="992" w:dyaOrig="693">
          <v:shape id="Object 3" o:spid="_x0000_i1026" type="#_x0000_t75" style="width:49.5pt;height:34.5pt;visibility:visible;mso-wrap-style:square" o:ole="">
            <v:imagedata r:id="rId346" o:title=""/>
          </v:shape>
          <o:OLEObject Type="Embed" ProgID="Equation.3" ShapeID="Object 3" DrawAspect="Content" ObjectID="_1625914965" r:id="rId347"/>
        </w:object>
      </w:r>
      <w:r>
        <w:rPr>
          <w:i/>
          <w:sz w:val="24"/>
          <w:szCs w:val="24"/>
        </w:rPr>
        <w:t xml:space="preserve">, </w:t>
      </w:r>
      <w:r>
        <w:rPr>
          <w:sz w:val="24"/>
          <w:szCs w:val="24"/>
        </w:rPr>
        <w:t>k=1,…,m,</w:t>
      </w:r>
      <w:r>
        <w:rPr>
          <w:b/>
          <w:sz w:val="24"/>
          <w:szCs w:val="24"/>
        </w:rPr>
        <w:tab/>
      </w:r>
    </w:p>
    <w:p w:rsidR="00E85D42" w:rsidRDefault="008113B9">
      <w:pPr>
        <w:ind w:firstLine="709"/>
        <w:jc w:val="both"/>
      </w:pPr>
      <w:r>
        <w:rPr>
          <w:sz w:val="24"/>
          <w:szCs w:val="24"/>
        </w:rPr>
        <w:t>где: r</w:t>
      </w:r>
      <w:r>
        <w:rPr>
          <w:sz w:val="24"/>
          <w:szCs w:val="24"/>
          <w:vertAlign w:val="subscript"/>
        </w:rPr>
        <w:t>max</w:t>
      </w:r>
      <w:r>
        <w:rPr>
          <w:sz w:val="24"/>
          <w:szCs w:val="24"/>
        </w:rPr>
        <w:t>– максим</w:t>
      </w:r>
      <w:r>
        <w:rPr>
          <w:sz w:val="24"/>
          <w:szCs w:val="24"/>
        </w:rPr>
        <w:t>альный из найденных коэффициентов корреляции, а m – количество фак</w:t>
      </w:r>
      <w:r>
        <w:rPr>
          <w:sz w:val="24"/>
          <w:szCs w:val="24"/>
        </w:rPr>
        <w:softHyphen/>
        <w:t>торов стоимости.</w:t>
      </w:r>
    </w:p>
    <w:p w:rsidR="00E85D42" w:rsidRDefault="008113B9">
      <w:pPr>
        <w:numPr>
          <w:ilvl w:val="0"/>
          <w:numId w:val="33"/>
        </w:numPr>
        <w:tabs>
          <w:tab w:val="left" w:pos="1080"/>
        </w:tabs>
        <w:ind w:left="0" w:firstLine="709"/>
        <w:jc w:val="both"/>
        <w:rPr>
          <w:sz w:val="24"/>
          <w:szCs w:val="24"/>
        </w:rPr>
      </w:pPr>
      <w:r>
        <w:rPr>
          <w:sz w:val="24"/>
          <w:szCs w:val="24"/>
        </w:rPr>
        <w:t>выбор из всех коэффициентов значимости тех коэффициентов, значения которых не менее 0.2 – 0.3. Соответствующие этим коэффициентам значимости факторы стоимости являются теми</w:t>
      </w:r>
      <w:r>
        <w:rPr>
          <w:sz w:val="24"/>
          <w:szCs w:val="24"/>
        </w:rPr>
        <w:t xml:space="preserve"> факторами, которые в основном формируют стоимость земельных участков группы.</w:t>
      </w:r>
    </w:p>
    <w:p w:rsidR="00E85D42" w:rsidRDefault="008113B9">
      <w:pPr>
        <w:ind w:firstLine="709"/>
        <w:jc w:val="both"/>
      </w:pPr>
      <w:r>
        <w:rPr>
          <w:sz w:val="24"/>
          <w:szCs w:val="24"/>
        </w:rPr>
        <w:t xml:space="preserve">3. </w:t>
      </w:r>
      <w:r>
        <w:rPr>
          <w:i/>
          <w:sz w:val="24"/>
          <w:szCs w:val="24"/>
        </w:rPr>
        <w:t>Проверка факторов кластеризации на наличие мультиколлинеарности</w:t>
      </w:r>
      <w:r>
        <w:rPr>
          <w:sz w:val="24"/>
          <w:szCs w:val="24"/>
        </w:rPr>
        <w:t>. Проверка на на</w:t>
      </w:r>
      <w:r>
        <w:rPr>
          <w:sz w:val="24"/>
          <w:szCs w:val="24"/>
        </w:rPr>
        <w:softHyphen/>
        <w:t>личие корреляционной зависимости между факторами стоимости и результирующим показателем (в данн</w:t>
      </w:r>
      <w:r>
        <w:rPr>
          <w:sz w:val="24"/>
          <w:szCs w:val="24"/>
        </w:rPr>
        <w:t>ом случае рыночной стоимостью 1 кв. м площади земельного участка) не достаточна для принятия окончательного решения о включении данного фактора в модель, поскольку одним из условий построения модели множественной регрессии является независимость действия ф</w:t>
      </w:r>
      <w:r>
        <w:rPr>
          <w:sz w:val="24"/>
          <w:szCs w:val="24"/>
        </w:rPr>
        <w:t>акто</w:t>
      </w:r>
      <w:r>
        <w:rPr>
          <w:sz w:val="24"/>
          <w:szCs w:val="24"/>
        </w:rPr>
        <w:softHyphen/>
        <w:t>ров. Ситуация, когда это условие нарушается, называется мультиколлинеарностью и означает су</w:t>
      </w:r>
      <w:r>
        <w:rPr>
          <w:sz w:val="24"/>
          <w:szCs w:val="24"/>
        </w:rPr>
        <w:softHyphen/>
        <w:t>ществование тесной зависимости (сильной корреляции) между двумя и более факторами класте</w:t>
      </w:r>
      <w:r>
        <w:rPr>
          <w:sz w:val="24"/>
          <w:szCs w:val="24"/>
        </w:rPr>
        <w:softHyphen/>
        <w:t xml:space="preserve">ризации. </w:t>
      </w:r>
    </w:p>
    <w:p w:rsidR="00E85D42" w:rsidRDefault="008113B9">
      <w:pPr>
        <w:tabs>
          <w:tab w:val="left" w:pos="1080"/>
        </w:tabs>
        <w:ind w:firstLine="709"/>
        <w:jc w:val="both"/>
        <w:rPr>
          <w:sz w:val="24"/>
          <w:szCs w:val="24"/>
        </w:rPr>
      </w:pPr>
      <w:r>
        <w:rPr>
          <w:sz w:val="24"/>
          <w:szCs w:val="24"/>
        </w:rPr>
        <w:t>Для исследования факторов стоимости, отобранных для построен</w:t>
      </w:r>
      <w:r>
        <w:rPr>
          <w:sz w:val="24"/>
          <w:szCs w:val="24"/>
        </w:rPr>
        <w:t>ия моделей по результа</w:t>
      </w:r>
      <w:r>
        <w:rPr>
          <w:sz w:val="24"/>
          <w:szCs w:val="24"/>
        </w:rPr>
        <w:softHyphen/>
        <w:t>там проверки репрезентативности и корреляционного анализа факторов стоимости с результи</w:t>
      </w:r>
      <w:r>
        <w:rPr>
          <w:sz w:val="24"/>
          <w:szCs w:val="24"/>
        </w:rPr>
        <w:softHyphen/>
        <w:t>рующей переменной, на наличие мультиколлинеарности был осуществлен расчет и анализ пар</w:t>
      </w:r>
      <w:r>
        <w:rPr>
          <w:sz w:val="24"/>
          <w:szCs w:val="24"/>
        </w:rPr>
        <w:softHyphen/>
        <w:t>ных коэффициентов корреляции между факторами стоимости с п</w:t>
      </w:r>
      <w:r>
        <w:rPr>
          <w:sz w:val="24"/>
          <w:szCs w:val="24"/>
        </w:rPr>
        <w:t>рименением СПО. Исследова</w:t>
      </w:r>
      <w:r>
        <w:rPr>
          <w:sz w:val="24"/>
          <w:szCs w:val="24"/>
        </w:rPr>
        <w:softHyphen/>
        <w:t>нию на наличие мультиколлинеарности подвергались пары факторов стоимости, для которых зна</w:t>
      </w:r>
      <w:r>
        <w:rPr>
          <w:sz w:val="24"/>
          <w:szCs w:val="24"/>
        </w:rPr>
        <w:softHyphen/>
        <w:t>чение парного коэффициента корреляции превышало 0,7.</w:t>
      </w:r>
    </w:p>
    <w:p w:rsidR="00E85D42" w:rsidRDefault="008113B9">
      <w:pPr>
        <w:ind w:firstLine="720"/>
        <w:jc w:val="both"/>
        <w:rPr>
          <w:sz w:val="24"/>
          <w:szCs w:val="24"/>
        </w:rPr>
      </w:pPr>
      <w:r>
        <w:rPr>
          <w:sz w:val="24"/>
          <w:szCs w:val="24"/>
        </w:rPr>
        <w:t xml:space="preserve">Анализ рынка недвижимости на территории населенных пунктов Республики Башкортостан </w:t>
      </w:r>
      <w:r>
        <w:rPr>
          <w:sz w:val="24"/>
          <w:szCs w:val="24"/>
        </w:rPr>
        <w:t>показал, что на величину цены предложения или цены спроса на объекты недвижимого имущества (земельные участки) как правило, влияют несколько основных факторов стоимости. Поэтому в рамках расчета кадастровой стоимости земельных участков, в процессе определе</w:t>
      </w:r>
      <w:r>
        <w:rPr>
          <w:sz w:val="24"/>
          <w:szCs w:val="24"/>
        </w:rPr>
        <w:t>ния состава факторов стоимости, участвующих в расчете, были выбраны наиболее значимые ценообразующие факторы, для которых была выявлена зависимость рыночной стоимости от значения фактора.</w:t>
      </w:r>
    </w:p>
    <w:p w:rsidR="00E85D42" w:rsidRDefault="008113B9">
      <w:pPr>
        <w:jc w:val="both"/>
        <w:rPr>
          <w:i/>
          <w:sz w:val="24"/>
          <w:szCs w:val="24"/>
        </w:rPr>
      </w:pPr>
      <w:r>
        <w:rPr>
          <w:i/>
          <w:sz w:val="24"/>
          <w:szCs w:val="24"/>
        </w:rPr>
        <w:t xml:space="preserve">Построение моделей расчета кадастровой стоимости земельных участков </w:t>
      </w:r>
      <w:r>
        <w:rPr>
          <w:i/>
          <w:sz w:val="24"/>
          <w:szCs w:val="24"/>
        </w:rPr>
        <w:t>каждой сформированной группы</w:t>
      </w:r>
    </w:p>
    <w:p w:rsidR="00E85D42" w:rsidRDefault="008113B9">
      <w:pPr>
        <w:pStyle w:val="Standarduser"/>
        <w:ind w:firstLine="720"/>
        <w:jc w:val="both"/>
      </w:pPr>
      <w:r>
        <w:t>Цель построения моделей расчета кадастровой стоимости земельных участков каждой группы (далее – модель расчета) состоит в получении статистически значимой и качественной модели расчета для каждой группы земельных участков.</w:t>
      </w:r>
    </w:p>
    <w:p w:rsidR="00E85D42" w:rsidRDefault="008113B9">
      <w:pPr>
        <w:pStyle w:val="Standarduser"/>
        <w:ind w:firstLine="720"/>
        <w:jc w:val="both"/>
      </w:pPr>
      <w:r>
        <w:t xml:space="preserve">Под </w:t>
      </w:r>
      <w:r>
        <w:t>моделью расчета понимается математическая формула, отображающая связь между зависимой переменной и значениями соответствующих факторов стоимости. В качестве зависимой переменной может выступать удельный показатель кадастровой стоимости земельных участков и</w:t>
      </w:r>
      <w:r>
        <w:t>ли кадастровая стоимость земельных участков.</w:t>
      </w:r>
    </w:p>
    <w:p w:rsidR="00E85D42" w:rsidRDefault="008113B9">
      <w:pPr>
        <w:pStyle w:val="Standarduser"/>
        <w:ind w:firstLine="709"/>
        <w:jc w:val="both"/>
      </w:pPr>
      <w:r>
        <w:t>Для определения кадастровой стоимости или УПКС земельных участков каждой сформированной группы могут использоваться следующие регрессионные модели:</w:t>
      </w:r>
    </w:p>
    <w:p w:rsidR="00E85D42" w:rsidRDefault="008113B9">
      <w:pPr>
        <w:pStyle w:val="Standarduser"/>
        <w:numPr>
          <w:ilvl w:val="0"/>
          <w:numId w:val="34"/>
        </w:numPr>
        <w:jc w:val="both"/>
      </w:pPr>
      <w:r>
        <w:t>Линейная (аддитивная):</w:t>
      </w:r>
    </w:p>
    <w:p w:rsidR="00E85D42" w:rsidRDefault="008113B9">
      <w:pPr>
        <w:pStyle w:val="Standarduser"/>
        <w:ind w:firstLine="708"/>
        <w:jc w:val="both"/>
      </w:pPr>
      <w:r>
        <w:t>Y=a_0+a_1 X_1+"..."+a_nX_n</w:t>
      </w:r>
      <w:r>
        <w:tab/>
      </w:r>
    </w:p>
    <w:p w:rsidR="00E85D42" w:rsidRDefault="008113B9">
      <w:pPr>
        <w:pStyle w:val="Standarduser"/>
        <w:numPr>
          <w:ilvl w:val="0"/>
          <w:numId w:val="7"/>
        </w:numPr>
        <w:jc w:val="both"/>
      </w:pPr>
      <w:r>
        <w:t>Мультипликат</w:t>
      </w:r>
      <w:r>
        <w:t>ивная степенная (без выделения двоичных факторов):</w:t>
      </w:r>
    </w:p>
    <w:p w:rsidR="00E85D42" w:rsidRDefault="008113B9">
      <w:pPr>
        <w:pStyle w:val="Standarduser"/>
        <w:ind w:firstLine="708"/>
        <w:jc w:val="both"/>
      </w:pPr>
      <w:r>
        <w:t>Y=a_0 X_1^(a_1 ) "..." X_n^(a_n )</w:t>
      </w:r>
    </w:p>
    <w:p w:rsidR="00E85D42" w:rsidRDefault="008113B9">
      <w:pPr>
        <w:pStyle w:val="Standarduser"/>
        <w:numPr>
          <w:ilvl w:val="0"/>
          <w:numId w:val="7"/>
        </w:numPr>
        <w:jc w:val="both"/>
      </w:pPr>
      <w:r>
        <w:t>Экспоненциальная модель:</w:t>
      </w:r>
    </w:p>
    <w:p w:rsidR="00E85D42" w:rsidRDefault="008113B9">
      <w:pPr>
        <w:pStyle w:val="Standarduser"/>
        <w:ind w:firstLine="708"/>
        <w:jc w:val="both"/>
      </w:pPr>
      <w:r>
        <w:t>Y=a_0 e^(a_1 X_1+"..." +a_nX_n )</w:t>
      </w:r>
    </w:p>
    <w:p w:rsidR="00E85D42" w:rsidRDefault="008113B9">
      <w:pPr>
        <w:pStyle w:val="Standarduser"/>
        <w:ind w:firstLine="708"/>
        <w:jc w:val="both"/>
      </w:pPr>
      <w:r>
        <w:t xml:space="preserve">где Y – зависимая переменная (рыночная стоимость 1 кв. м земельного участка), X1,…,Xn – значения факторов </w:t>
      </w:r>
      <w:r>
        <w:t>кластеризации, а0, а1…аn – коэффициенты модели.</w:t>
      </w:r>
    </w:p>
    <w:p w:rsidR="00E85D42" w:rsidRDefault="00E85D42">
      <w:pPr>
        <w:pStyle w:val="Standarduser"/>
        <w:ind w:firstLine="709"/>
        <w:jc w:val="both"/>
      </w:pPr>
    </w:p>
    <w:p w:rsidR="00E85D42" w:rsidRDefault="008113B9">
      <w:pPr>
        <w:pStyle w:val="Standarduser"/>
        <w:ind w:firstLine="709"/>
        <w:jc w:val="both"/>
      </w:pPr>
      <w:r>
        <w:t>Программное обеспечение АИСГКО «Расчет кадастровой стоимости объектов недвижимости» осуществляет разделение участков с известной рыночной стоимостью на две группы: обучающую и контрольную. По данным обучающе</w:t>
      </w:r>
      <w:r>
        <w:t>й выборки строится модель, расчет стоимости по которой должен быть сопоставлен со стоимостью участков из контрольной выборки. Предусмотрено сохранение распределения объектов-аналогов на обучающую и контрольную выборки для каждой группы в отдельности. Диагр</w:t>
      </w:r>
      <w:r>
        <w:t>амма «Обучающая и контрольная выборки» позволяет просмотреть распределение объектов-аналогов по выборкам.</w:t>
      </w:r>
    </w:p>
    <w:p w:rsidR="00E85D42" w:rsidRDefault="008113B9">
      <w:pPr>
        <w:pStyle w:val="Standarduser"/>
        <w:ind w:firstLine="709"/>
        <w:jc w:val="both"/>
      </w:pPr>
      <w:r>
        <w:t xml:space="preserve">Результаты расчета параметров качества статистически значимых моделей для каждой сформированной группы для обучающей и контрольной выборок отображены </w:t>
      </w:r>
      <w:r>
        <w:t>в Таблице «Анализ качества модели 3 сегмент» Приложения2.</w:t>
      </w:r>
    </w:p>
    <w:p w:rsidR="00E85D42" w:rsidRDefault="008113B9">
      <w:pPr>
        <w:pStyle w:val="Standarduser"/>
        <w:ind w:firstLine="709"/>
        <w:jc w:val="both"/>
      </w:pPr>
      <w:r>
        <w:t>Результат отбора моделей для каждой сформированной группы отображен в Таблице «Анализ качества модели 3 сегмент» Приложения2.</w:t>
      </w:r>
    </w:p>
    <w:p w:rsidR="00E85D42" w:rsidRDefault="008113B9">
      <w:pPr>
        <w:pStyle w:val="Standarduser"/>
        <w:ind w:firstLine="709"/>
        <w:jc w:val="both"/>
      </w:pPr>
      <w:r>
        <w:t>Результат выбора наиболее качественной модели по критерию «Средняя относ</w:t>
      </w:r>
      <w:r>
        <w:t>ительная погрешность оценки» отображен в Таблице «Анализ качества модели 3 сегмент» Приложения2.</w:t>
      </w:r>
    </w:p>
    <w:p w:rsidR="00E85D42" w:rsidRDefault="008113B9">
      <w:pPr>
        <w:pStyle w:val="Standarduser"/>
        <w:ind w:firstLine="709"/>
        <w:jc w:val="both"/>
      </w:pPr>
      <w:r>
        <w:t>Величина средней относительной погрешности оценки на рассматриваемой выборке i–го объектаопределяется как:</w:t>
      </w:r>
    </w:p>
    <w:p w:rsidR="00E85D42" w:rsidRDefault="008113B9">
      <w:pPr>
        <w:pStyle w:val="Standarduser"/>
        <w:ind w:firstLine="709"/>
        <w:jc w:val="both"/>
      </w:pPr>
      <w:r>
        <w:rPr>
          <w:noProof/>
          <w:lang w:eastAsia="ru-RU"/>
        </w:rPr>
        <w:drawing>
          <wp:inline distT="0" distB="0" distL="0" distR="0">
            <wp:extent cx="1249198" cy="614522"/>
            <wp:effectExtent l="0" t="0" r="8102" b="0"/>
            <wp:docPr id="144"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lum/>
                      <a:alphaModFix/>
                    </a:blip>
                    <a:srcRect/>
                    <a:stretch>
                      <a:fillRect/>
                    </a:stretch>
                  </pic:blipFill>
                  <pic:spPr>
                    <a:xfrm>
                      <a:off x="0" y="0"/>
                      <a:ext cx="1249198" cy="614522"/>
                    </a:xfrm>
                    <a:prstGeom prst="rect">
                      <a:avLst/>
                    </a:prstGeom>
                    <a:noFill/>
                    <a:ln>
                      <a:noFill/>
                      <a:prstDash/>
                    </a:ln>
                  </pic:spPr>
                </pic:pic>
              </a:graphicData>
            </a:graphic>
          </wp:inline>
        </w:drawing>
      </w:r>
    </w:p>
    <w:p w:rsidR="00E85D42" w:rsidRDefault="008113B9">
      <w:pPr>
        <w:pStyle w:val="Standarduser"/>
        <w:ind w:firstLine="709"/>
        <w:jc w:val="both"/>
      </w:pPr>
      <w:r>
        <w:t>, где N – число наблюдений (объектов) в рассматрив</w:t>
      </w:r>
      <w:r>
        <w:t>аемой выборке.</w:t>
      </w:r>
    </w:p>
    <w:p w:rsidR="00E85D42" w:rsidRDefault="008113B9">
      <w:pPr>
        <w:pStyle w:val="Standarduser"/>
        <w:ind w:firstLine="709"/>
        <w:jc w:val="both"/>
      </w:pPr>
      <w:r>
        <w:t>Ограничения, накладываемые на данный параметр для обучающей выборки, составляют 40%, для контрольной 50%, при увеличении не более, чем в 1,5 раза.</w:t>
      </w:r>
    </w:p>
    <w:p w:rsidR="00E85D42" w:rsidRDefault="008113B9">
      <w:pPr>
        <w:pStyle w:val="Standarduser"/>
        <w:spacing w:after="120"/>
        <w:ind w:firstLine="709"/>
        <w:jc w:val="both"/>
      </w:pPr>
      <w:r>
        <w:rPr>
          <w:rFonts w:eastAsia="Calibri, sans-serif"/>
          <w:lang w:eastAsia="en-US"/>
        </w:rPr>
        <w:t xml:space="preserve">Из всех полученных моделей для каждой группы выбирается статистически значимая модель, </w:t>
      </w:r>
      <w:r>
        <w:rPr>
          <w:rFonts w:eastAsia="Calibri, sans-serif"/>
          <w:lang w:eastAsia="en-US"/>
        </w:rPr>
        <w:t xml:space="preserve">обладающая наилучшим качеством. Построенная модель расчёта должна отвечать требованиям предметной интерпретации (объяснимости), а также удовлетворять допустимым уровням показателей качества статистических моделей данного вида. Данная операция производится </w:t>
      </w:r>
      <w:r>
        <w:rPr>
          <w:rFonts w:eastAsia="Calibri, sans-serif"/>
          <w:lang w:eastAsia="en-US"/>
        </w:rPr>
        <w:t xml:space="preserve">в автоматическом режиме средствами </w:t>
      </w:r>
      <w:r>
        <w:t>специального программного обеспечения АИС ГКО «Расчет кадастровой стоимости объектов недвижимости»</w:t>
      </w:r>
      <w:r>
        <w:rPr>
          <w:rFonts w:eastAsia="Calibri, sans-serif"/>
          <w:lang w:eastAsia="en-US"/>
        </w:rPr>
        <w:t>. Ниже представлены статистические модели для каждой группы видов разрешенного использования, обладающие наилучшим качество</w:t>
      </w:r>
      <w:r>
        <w:rPr>
          <w:rFonts w:eastAsia="Calibri, sans-serif"/>
          <w:lang w:eastAsia="en-US"/>
        </w:rPr>
        <w:t>м:</w:t>
      </w:r>
    </w:p>
    <w:p w:rsidR="00E85D42" w:rsidRDefault="008113B9">
      <w:pPr>
        <w:pStyle w:val="Standarduser"/>
        <w:tabs>
          <w:tab w:val="left" w:pos="1134"/>
        </w:tabs>
        <w:spacing w:before="120" w:line="288" w:lineRule="auto"/>
        <w:jc w:val="both"/>
        <w:rPr>
          <w:b/>
        </w:rPr>
      </w:pPr>
      <w:r>
        <w:rPr>
          <w:b/>
        </w:rPr>
        <w:t>Земельные участки, предназначенные для размещения зданий общественного использования в крупных городах РБ:</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pStyle w:val="Standarduser"/>
        <w:jc w:val="both"/>
      </w:pPr>
      <w:r>
        <w:t>УПКС = 825.706159429144 * e^(0.7258583512048862*Расстояние до крупных торговых объектов+0.46375073945</w:t>
      </w:r>
      <w:r>
        <w:t>61702*Расстояние до административного центра)</w:t>
      </w:r>
      <w:r>
        <w:tab/>
      </w:r>
    </w:p>
    <w:p w:rsidR="00E85D42" w:rsidRDefault="008113B9">
      <w:pPr>
        <w:pStyle w:val="Standarduser"/>
        <w:jc w:val="right"/>
      </w:pPr>
      <w:r>
        <w:t>Таблица 3.6.3.1</w:t>
      </w:r>
    </w:p>
    <w:tbl>
      <w:tblPr>
        <w:tblW w:w="5000" w:type="pct"/>
        <w:jc w:val="center"/>
        <w:tblLayout w:type="fixed"/>
        <w:tblCellMar>
          <w:left w:w="10" w:type="dxa"/>
          <w:right w:w="10" w:type="dxa"/>
        </w:tblCellMar>
        <w:tblLook w:val="04A0" w:firstRow="1" w:lastRow="0" w:firstColumn="1" w:lastColumn="0" w:noHBand="0" w:noVBand="1"/>
      </w:tblPr>
      <w:tblGrid>
        <w:gridCol w:w="2795"/>
        <w:gridCol w:w="589"/>
        <w:gridCol w:w="4863"/>
        <w:gridCol w:w="1467"/>
      </w:tblGrid>
      <w:tr w:rsidR="00E85D42">
        <w:tblPrEx>
          <w:tblCellMar>
            <w:top w:w="0" w:type="dxa"/>
            <w:bottom w:w="0" w:type="dxa"/>
          </w:tblCellMar>
        </w:tblPrEx>
        <w:trPr>
          <w:trHeight w:val="645"/>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rPr>
            </w:pPr>
            <w:r>
              <w:rPr>
                <w:color w:val="000000"/>
              </w:rPr>
              <w:t>Ценообразующий фактор</w:t>
            </w:r>
          </w:p>
        </w:tc>
        <w:tc>
          <w:tcPr>
            <w:tcW w:w="58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t xml:space="preserve">№ </w:t>
            </w:r>
          </w:p>
        </w:tc>
        <w:tc>
          <w:tcPr>
            <w:tcW w:w="486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w:t>
            </w:r>
            <w:r>
              <w:t>825.706159429144 * e^(0.7258583512048862*</w:t>
            </w:r>
            <w:r>
              <w:rPr>
                <w:lang w:val="en-US"/>
              </w:rPr>
              <w:t>F</w:t>
            </w:r>
            <w:r>
              <w:t>1+0.4637507394561702*</w:t>
            </w:r>
            <w:r>
              <w:rPr>
                <w:lang w:val="en-US"/>
              </w:rPr>
              <w:t>F</w:t>
            </w:r>
            <w:r>
              <w:t>2)</w:t>
            </w:r>
            <w:r>
              <w:tab/>
            </w:r>
          </w:p>
        </w:tc>
        <w:tc>
          <w:tcPr>
            <w:tcW w:w="146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495"/>
          <w:jc w:val="center"/>
        </w:trPr>
        <w:tc>
          <w:tcPr>
            <w:tcW w:w="27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крупных торговых объектов</w:t>
            </w:r>
          </w:p>
        </w:tc>
        <w:tc>
          <w:tcPr>
            <w:tcW w:w="58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863"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2978.4572222222223/(1541.6380000000001+X0)</w:t>
            </w:r>
          </w:p>
        </w:tc>
        <w:tc>
          <w:tcPr>
            <w:tcW w:w="1467"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0,768860613</w:t>
            </w:r>
          </w:p>
        </w:tc>
      </w:tr>
      <w:tr w:rsidR="00E85D42">
        <w:tblPrEx>
          <w:tblCellMar>
            <w:top w:w="0" w:type="dxa"/>
            <w:bottom w:w="0" w:type="dxa"/>
          </w:tblCellMar>
        </w:tblPrEx>
        <w:trPr>
          <w:trHeight w:val="315"/>
          <w:jc w:val="center"/>
        </w:trPr>
        <w:tc>
          <w:tcPr>
            <w:tcW w:w="27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административного центра</w:t>
            </w:r>
          </w:p>
        </w:tc>
        <w:tc>
          <w:tcPr>
            <w:tcW w:w="58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863"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2726.8806666666665/(1258.6562000000001+X1)</w:t>
            </w:r>
          </w:p>
        </w:tc>
        <w:tc>
          <w:tcPr>
            <w:tcW w:w="1467"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0,872276879</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3.6.3.2</w:t>
      </w:r>
    </w:p>
    <w:tbl>
      <w:tblPr>
        <w:tblW w:w="5000" w:type="pct"/>
        <w:tblCellMar>
          <w:left w:w="10" w:type="dxa"/>
          <w:right w:w="10" w:type="dxa"/>
        </w:tblCellMar>
        <w:tblLook w:val="04A0" w:firstRow="1" w:lastRow="0" w:firstColumn="1" w:lastColumn="0" w:noHBand="0" w:noVBand="1"/>
      </w:tblPr>
      <w:tblGrid>
        <w:gridCol w:w="916"/>
        <w:gridCol w:w="3944"/>
        <w:gridCol w:w="2326"/>
        <w:gridCol w:w="2528"/>
      </w:tblGrid>
      <w:tr w:rsidR="00E85D42">
        <w:tblPrEx>
          <w:tblCellMar>
            <w:top w:w="0" w:type="dxa"/>
            <w:bottom w:w="0" w:type="dxa"/>
          </w:tblCellMar>
        </w:tblPrEx>
        <w:trPr>
          <w:trHeight w:val="300"/>
        </w:trPr>
        <w:tc>
          <w:tcPr>
            <w:tcW w:w="91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sz w:val="18"/>
                <w:szCs w:val="18"/>
              </w:rPr>
            </w:pPr>
            <w:r>
              <w:rPr>
                <w:b/>
                <w:bCs/>
                <w:sz w:val="18"/>
                <w:szCs w:val="18"/>
              </w:rPr>
              <w:t>№ п/п</w:t>
            </w:r>
          </w:p>
        </w:tc>
        <w:tc>
          <w:tcPr>
            <w:tcW w:w="394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sz w:val="18"/>
                <w:szCs w:val="18"/>
              </w:rPr>
            </w:pPr>
            <w:r>
              <w:rPr>
                <w:b/>
                <w:bCs/>
                <w:sz w:val="18"/>
                <w:szCs w:val="18"/>
              </w:rPr>
              <w:t xml:space="preserve">Название статистически </w:t>
            </w:r>
            <w:r>
              <w:rPr>
                <w:b/>
                <w:bCs/>
                <w:sz w:val="18"/>
                <w:szCs w:val="18"/>
              </w:rPr>
              <w:t>значимой модели</w:t>
            </w:r>
          </w:p>
        </w:tc>
        <w:tc>
          <w:tcPr>
            <w:tcW w:w="4854"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sz w:val="18"/>
                <w:szCs w:val="18"/>
              </w:rPr>
            </w:pPr>
            <w:r>
              <w:rPr>
                <w:b/>
                <w:bCs/>
                <w:sz w:val="18"/>
                <w:szCs w:val="18"/>
              </w:rPr>
              <w:t>Экспоненциальная модель</w:t>
            </w:r>
          </w:p>
        </w:tc>
      </w:tr>
      <w:tr w:rsidR="00E85D42">
        <w:tblPrEx>
          <w:tblCellMar>
            <w:top w:w="0" w:type="dxa"/>
            <w:bottom w:w="0" w:type="dxa"/>
          </w:tblCellMar>
        </w:tblPrEx>
        <w:trPr>
          <w:trHeight w:val="300"/>
        </w:trPr>
        <w:tc>
          <w:tcPr>
            <w:tcW w:w="91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sz w:val="18"/>
                <w:szCs w:val="18"/>
              </w:rPr>
            </w:pPr>
          </w:p>
        </w:tc>
        <w:tc>
          <w:tcPr>
            <w:tcW w:w="394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sz w:val="18"/>
                <w:szCs w:val="18"/>
              </w:rPr>
            </w:pPr>
          </w:p>
        </w:tc>
        <w:tc>
          <w:tcPr>
            <w:tcW w:w="232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sz w:val="18"/>
                <w:szCs w:val="18"/>
              </w:rPr>
            </w:pPr>
            <w:r>
              <w:rPr>
                <w:b/>
                <w:bCs/>
                <w:sz w:val="18"/>
                <w:szCs w:val="18"/>
              </w:rPr>
              <w:t>Обучающая выборка</w:t>
            </w:r>
          </w:p>
        </w:tc>
        <w:tc>
          <w:tcPr>
            <w:tcW w:w="252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sz w:val="18"/>
                <w:szCs w:val="18"/>
              </w:rPr>
            </w:pPr>
            <w:r>
              <w:rPr>
                <w:b/>
                <w:bCs/>
                <w:sz w:val="18"/>
                <w:szCs w:val="18"/>
              </w:rPr>
              <w:t>Контрольная выборка</w:t>
            </w:r>
          </w:p>
        </w:tc>
      </w:tr>
      <w:tr w:rsidR="00E85D42">
        <w:tblPrEx>
          <w:tblCellMar>
            <w:top w:w="0" w:type="dxa"/>
            <w:bottom w:w="0" w:type="dxa"/>
          </w:tblCellMar>
        </w:tblPrEx>
        <w:trPr>
          <w:trHeight w:val="300"/>
        </w:trPr>
        <w:tc>
          <w:tcPr>
            <w:tcW w:w="91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sz w:val="18"/>
                <w:szCs w:val="18"/>
              </w:rPr>
            </w:pPr>
            <w:r>
              <w:rPr>
                <w:b/>
                <w:bCs/>
                <w:sz w:val="18"/>
                <w:szCs w:val="18"/>
              </w:rPr>
              <w:t>1</w:t>
            </w:r>
          </w:p>
        </w:tc>
        <w:tc>
          <w:tcPr>
            <w:tcW w:w="394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sz w:val="18"/>
                <w:szCs w:val="18"/>
              </w:rPr>
            </w:pPr>
            <w:r>
              <w:rPr>
                <w:b/>
                <w:bCs/>
                <w:sz w:val="18"/>
                <w:szCs w:val="18"/>
              </w:rPr>
              <w:t>2</w:t>
            </w:r>
          </w:p>
        </w:tc>
        <w:tc>
          <w:tcPr>
            <w:tcW w:w="232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sz w:val="18"/>
                <w:szCs w:val="18"/>
              </w:rPr>
            </w:pPr>
            <w:r>
              <w:rPr>
                <w:b/>
                <w:bCs/>
                <w:sz w:val="18"/>
                <w:szCs w:val="18"/>
              </w:rPr>
              <w:t>7</w:t>
            </w:r>
          </w:p>
        </w:tc>
        <w:tc>
          <w:tcPr>
            <w:tcW w:w="252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sz w:val="18"/>
                <w:szCs w:val="18"/>
              </w:rPr>
            </w:pPr>
            <w:r>
              <w:rPr>
                <w:b/>
                <w:bCs/>
                <w:sz w:val="18"/>
                <w:szCs w:val="18"/>
              </w:rPr>
              <w:t>8</w:t>
            </w:r>
          </w:p>
        </w:tc>
      </w:tr>
      <w:tr w:rsidR="00E85D42">
        <w:tblPrEx>
          <w:tblCellMar>
            <w:top w:w="0" w:type="dxa"/>
            <w:bottom w:w="0" w:type="dxa"/>
          </w:tblCellMar>
        </w:tblPrEx>
        <w:trPr>
          <w:trHeight w:val="300"/>
        </w:trPr>
        <w:tc>
          <w:tcPr>
            <w:tcW w:w="91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sz w:val="18"/>
                <w:szCs w:val="18"/>
              </w:rPr>
            </w:pPr>
            <w:r>
              <w:rPr>
                <w:color w:val="000000"/>
                <w:sz w:val="18"/>
                <w:szCs w:val="18"/>
              </w:rPr>
              <w:t>1</w:t>
            </w:r>
          </w:p>
        </w:tc>
        <w:tc>
          <w:tcPr>
            <w:tcW w:w="394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Средняя относительная погрешность оценки</w:t>
            </w:r>
          </w:p>
        </w:tc>
        <w:tc>
          <w:tcPr>
            <w:tcW w:w="232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sz w:val="18"/>
                <w:szCs w:val="18"/>
              </w:rPr>
            </w:pPr>
            <w:r>
              <w:rPr>
                <w:color w:val="000000"/>
                <w:sz w:val="18"/>
                <w:szCs w:val="18"/>
              </w:rPr>
              <w:t>0,122588</w:t>
            </w:r>
          </w:p>
        </w:tc>
        <w:tc>
          <w:tcPr>
            <w:tcW w:w="252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sz w:val="18"/>
                <w:szCs w:val="18"/>
              </w:rPr>
            </w:pPr>
            <w:r>
              <w:rPr>
                <w:color w:val="000000"/>
                <w:sz w:val="18"/>
                <w:szCs w:val="18"/>
              </w:rPr>
              <w:t>0,237893</w:t>
            </w:r>
          </w:p>
        </w:tc>
      </w:tr>
      <w:tr w:rsidR="00E85D42">
        <w:tblPrEx>
          <w:tblCellMar>
            <w:top w:w="0" w:type="dxa"/>
            <w:bottom w:w="0" w:type="dxa"/>
          </w:tblCellMar>
        </w:tblPrEx>
        <w:trPr>
          <w:trHeight w:val="300"/>
        </w:trPr>
        <w:tc>
          <w:tcPr>
            <w:tcW w:w="91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sz w:val="18"/>
                <w:szCs w:val="18"/>
              </w:rPr>
            </w:pPr>
            <w:r>
              <w:rPr>
                <w:color w:val="000000"/>
                <w:sz w:val="18"/>
                <w:szCs w:val="18"/>
              </w:rPr>
              <w:t>2</w:t>
            </w:r>
          </w:p>
        </w:tc>
        <w:tc>
          <w:tcPr>
            <w:tcW w:w="394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Коэффициент детерминации</w:t>
            </w:r>
          </w:p>
        </w:tc>
        <w:tc>
          <w:tcPr>
            <w:tcW w:w="232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sz w:val="18"/>
                <w:szCs w:val="18"/>
              </w:rPr>
            </w:pPr>
            <w:r>
              <w:rPr>
                <w:color w:val="000000"/>
                <w:sz w:val="18"/>
                <w:szCs w:val="18"/>
              </w:rPr>
              <w:t>0,866823</w:t>
            </w:r>
          </w:p>
        </w:tc>
        <w:tc>
          <w:tcPr>
            <w:tcW w:w="252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sz w:val="18"/>
                <w:szCs w:val="18"/>
              </w:rPr>
            </w:pPr>
            <w:r>
              <w:rPr>
                <w:color w:val="000000"/>
                <w:sz w:val="18"/>
                <w:szCs w:val="18"/>
              </w:rPr>
              <w:t>0,738033</w:t>
            </w:r>
          </w:p>
        </w:tc>
      </w:tr>
      <w:tr w:rsidR="00E85D42">
        <w:tblPrEx>
          <w:tblCellMar>
            <w:top w:w="0" w:type="dxa"/>
            <w:bottom w:w="0" w:type="dxa"/>
          </w:tblCellMar>
        </w:tblPrEx>
        <w:trPr>
          <w:trHeight w:val="300"/>
        </w:trPr>
        <w:tc>
          <w:tcPr>
            <w:tcW w:w="91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sz w:val="18"/>
                <w:szCs w:val="18"/>
              </w:rPr>
            </w:pPr>
            <w:r>
              <w:rPr>
                <w:color w:val="000000"/>
                <w:sz w:val="18"/>
                <w:szCs w:val="18"/>
              </w:rPr>
              <w:t>3</w:t>
            </w:r>
          </w:p>
        </w:tc>
        <w:tc>
          <w:tcPr>
            <w:tcW w:w="394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Отношение суммы невязок к средней стоимости</w:t>
            </w:r>
          </w:p>
        </w:tc>
        <w:tc>
          <w:tcPr>
            <w:tcW w:w="232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sz w:val="18"/>
                <w:szCs w:val="18"/>
              </w:rPr>
            </w:pPr>
            <w:r>
              <w:rPr>
                <w:color w:val="000000"/>
                <w:sz w:val="18"/>
                <w:szCs w:val="18"/>
              </w:rPr>
              <w:t>0,043041</w:t>
            </w:r>
          </w:p>
        </w:tc>
        <w:tc>
          <w:tcPr>
            <w:tcW w:w="252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sz w:val="18"/>
                <w:szCs w:val="18"/>
              </w:rPr>
            </w:pPr>
            <w:r>
              <w:rPr>
                <w:color w:val="000000"/>
                <w:sz w:val="18"/>
                <w:szCs w:val="18"/>
              </w:rPr>
              <w:t>0,314162</w:t>
            </w:r>
          </w:p>
        </w:tc>
      </w:tr>
    </w:tbl>
    <w:p w:rsidR="00E85D42" w:rsidRDefault="00E85D42">
      <w:pPr>
        <w:pStyle w:val="Standarduser"/>
        <w:jc w:val="both"/>
      </w:pPr>
    </w:p>
    <w:p w:rsidR="00E85D42" w:rsidRDefault="008113B9">
      <w:pPr>
        <w:pStyle w:val="Standarduser"/>
        <w:tabs>
          <w:tab w:val="left" w:pos="1134"/>
        </w:tabs>
        <w:spacing w:before="120" w:line="288" w:lineRule="auto"/>
        <w:jc w:val="both"/>
        <w:rPr>
          <w:b/>
        </w:rPr>
      </w:pPr>
      <w:r>
        <w:rPr>
          <w:b/>
        </w:rPr>
        <w:t>Земельные участки, предназначенные для размещения зданий общественного использования в малых городах РБ:</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pStyle w:val="Standarduser"/>
        <w:jc w:val="right"/>
      </w:pPr>
      <w:r>
        <w:t>УПКС = 328.59659667440957 * e^(0.9105980519719148*Расстояние до общественно-делового центра+0.4</w:t>
      </w:r>
      <w:r>
        <w:t>4151191990122496*Численность населения в населенном пункте)</w:t>
      </w:r>
    </w:p>
    <w:p w:rsidR="00E85D42" w:rsidRDefault="008113B9">
      <w:pPr>
        <w:pStyle w:val="Standarduser"/>
        <w:jc w:val="right"/>
      </w:pPr>
      <w:r>
        <w:t>Таблица 3.6.3.3</w:t>
      </w:r>
    </w:p>
    <w:tbl>
      <w:tblPr>
        <w:tblW w:w="5000" w:type="pct"/>
        <w:tblLayout w:type="fixed"/>
        <w:tblCellMar>
          <w:left w:w="10" w:type="dxa"/>
          <w:right w:w="10" w:type="dxa"/>
        </w:tblCellMar>
        <w:tblLook w:val="04A0" w:firstRow="1" w:lastRow="0" w:firstColumn="1" w:lastColumn="0" w:noHBand="0" w:noVBand="1"/>
      </w:tblPr>
      <w:tblGrid>
        <w:gridCol w:w="2845"/>
        <w:gridCol w:w="575"/>
        <w:gridCol w:w="4746"/>
        <w:gridCol w:w="1548"/>
      </w:tblGrid>
      <w:tr w:rsidR="00E85D42">
        <w:tblPrEx>
          <w:tblCellMar>
            <w:top w:w="0" w:type="dxa"/>
            <w:bottom w:w="0" w:type="dxa"/>
          </w:tblCellMar>
        </w:tblPrEx>
        <w:trPr>
          <w:trHeight w:val="945"/>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w:t>
            </w:r>
            <w:r>
              <w:rPr>
                <w:sz w:val="18"/>
                <w:szCs w:val="18"/>
              </w:rPr>
              <w:t>=</w:t>
            </w:r>
            <w:r>
              <w:t>328.59659667440957 * e^(0.9105980519719148*</w:t>
            </w:r>
            <w:r>
              <w:rPr>
                <w:lang w:val="en-US"/>
              </w:rPr>
              <w:t>F</w:t>
            </w:r>
            <w:r>
              <w:t>1+0.44151191990122496*</w:t>
            </w:r>
            <w:r>
              <w:rPr>
                <w:lang w:val="en-US"/>
              </w:rPr>
              <w:t>F</w:t>
            </w:r>
            <w:r>
              <w:t>2)</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33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общественно-делового центра</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751.2133333333334/(388.87+X0)</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0,867800134</w:t>
            </w:r>
          </w:p>
        </w:tc>
      </w:tr>
      <w:tr w:rsidR="00E85D42">
        <w:tblPrEx>
          <w:tblCellMar>
            <w:top w:w="0" w:type="dxa"/>
            <w:bottom w:w="0" w:type="dxa"/>
          </w:tblCellMar>
        </w:tblPrEx>
        <w:trPr>
          <w:trHeight w:val="315"/>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Численность населения в населенном пункте</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(16643.0+X1)/42491.79166666667</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0,439381769</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3.6.3.4</w:t>
      </w:r>
    </w:p>
    <w:tbl>
      <w:tblPr>
        <w:tblW w:w="5000" w:type="pct"/>
        <w:tblCellMar>
          <w:left w:w="10" w:type="dxa"/>
          <w:right w:w="10" w:type="dxa"/>
        </w:tblCellMar>
        <w:tblLook w:val="04A0" w:firstRow="1" w:lastRow="0" w:firstColumn="1" w:lastColumn="0" w:noHBand="0" w:noVBand="1"/>
      </w:tblPr>
      <w:tblGrid>
        <w:gridCol w:w="812"/>
        <w:gridCol w:w="4358"/>
        <w:gridCol w:w="2176"/>
        <w:gridCol w:w="2368"/>
      </w:tblGrid>
      <w:tr w:rsidR="00E85D42">
        <w:tblPrEx>
          <w:tblCellMar>
            <w:top w:w="0" w:type="dxa"/>
            <w:bottom w:w="0" w:type="dxa"/>
          </w:tblCellMar>
        </w:tblPrEx>
        <w:trPr>
          <w:trHeight w:val="30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 п/п</w:t>
            </w:r>
          </w:p>
        </w:tc>
        <w:tc>
          <w:tcPr>
            <w:tcW w:w="435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Название статистически значимой модели</w:t>
            </w:r>
          </w:p>
        </w:tc>
        <w:tc>
          <w:tcPr>
            <w:tcW w:w="4544"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Экспоненциальная модель</w:t>
            </w:r>
          </w:p>
        </w:tc>
      </w:tr>
      <w:tr w:rsidR="00E85D42">
        <w:tblPrEx>
          <w:tblCellMar>
            <w:top w:w="0" w:type="dxa"/>
            <w:bottom w:w="0" w:type="dxa"/>
          </w:tblCellMar>
        </w:tblPrEx>
        <w:trPr>
          <w:trHeight w:val="300"/>
        </w:trPr>
        <w:tc>
          <w:tcPr>
            <w:tcW w:w="81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435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Обучающая выборка</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Контрольная выборка</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1</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Средняя относительная погрешность оценки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0,185599</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0,15617</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2</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Коэффициент детерминации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0,747997</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0,696559</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3</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Отношение суммы невязок к средней стоимости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0,079779</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-0,13501</w:t>
            </w:r>
          </w:p>
        </w:tc>
      </w:tr>
    </w:tbl>
    <w:p w:rsidR="00E85D42" w:rsidRDefault="00E85D42">
      <w:pPr>
        <w:pStyle w:val="affffc"/>
        <w:ind w:firstLine="709"/>
        <w:jc w:val="both"/>
        <w:rPr>
          <w:rFonts w:ascii="Times New Roman" w:hAnsi="Times New Roman"/>
          <w:sz w:val="24"/>
          <w:szCs w:val="24"/>
        </w:rPr>
      </w:pPr>
    </w:p>
    <w:p w:rsidR="00E85D42" w:rsidRDefault="008113B9">
      <w:pPr>
        <w:pStyle w:val="Standarduser"/>
        <w:tabs>
          <w:tab w:val="left" w:pos="1134"/>
        </w:tabs>
        <w:spacing w:before="120" w:line="288" w:lineRule="auto"/>
        <w:jc w:val="both"/>
        <w:rPr>
          <w:b/>
        </w:rPr>
      </w:pPr>
      <w:r>
        <w:rPr>
          <w:b/>
        </w:rPr>
        <w:t xml:space="preserve">Земельные </w:t>
      </w:r>
      <w:r>
        <w:rPr>
          <w:b/>
        </w:rPr>
        <w:t>участки, предназначенные для размещения зданий общественного использования в г. Уфа:</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pStyle w:val="Standarduser"/>
        <w:jc w:val="both"/>
        <w:rPr>
          <w:sz w:val="22"/>
          <w:szCs w:val="22"/>
        </w:rPr>
      </w:pPr>
      <w:r>
        <w:rPr>
          <w:sz w:val="22"/>
          <w:szCs w:val="22"/>
        </w:rPr>
        <w:t xml:space="preserve">УПКС = 566.9076556538167 * e^(1.2594779489400123*Расстояние до историко-культурного центра+0.45138640127628005*Расстояние до </w:t>
      </w:r>
      <w:r>
        <w:rPr>
          <w:sz w:val="22"/>
          <w:szCs w:val="22"/>
        </w:rPr>
        <w:t>крупных торговых объектов-0.1822497808881094*Расстояние до административного центра+0.725737822987055*Расстояние до остановок общественного транспорта)</w:t>
      </w:r>
    </w:p>
    <w:p w:rsidR="00E85D42" w:rsidRDefault="008113B9">
      <w:pPr>
        <w:pStyle w:val="Standarduser"/>
        <w:jc w:val="right"/>
      </w:pPr>
      <w:r>
        <w:t>Таблица 3.6.3.5</w:t>
      </w:r>
    </w:p>
    <w:tbl>
      <w:tblPr>
        <w:tblW w:w="5000" w:type="pct"/>
        <w:tblLayout w:type="fixed"/>
        <w:tblCellMar>
          <w:left w:w="10" w:type="dxa"/>
          <w:right w:w="10" w:type="dxa"/>
        </w:tblCellMar>
        <w:tblLook w:val="04A0" w:firstRow="1" w:lastRow="0" w:firstColumn="1" w:lastColumn="0" w:noHBand="0" w:noVBand="1"/>
      </w:tblPr>
      <w:tblGrid>
        <w:gridCol w:w="2845"/>
        <w:gridCol w:w="575"/>
        <w:gridCol w:w="4746"/>
        <w:gridCol w:w="1548"/>
      </w:tblGrid>
      <w:tr w:rsidR="00E85D42">
        <w:tblPrEx>
          <w:tblCellMar>
            <w:top w:w="0" w:type="dxa"/>
            <w:bottom w:w="0" w:type="dxa"/>
          </w:tblCellMar>
        </w:tblPrEx>
        <w:trPr>
          <w:trHeight w:val="54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74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w:t>
            </w:r>
            <w:r>
              <w:rPr>
                <w:sz w:val="18"/>
                <w:szCs w:val="18"/>
              </w:rPr>
              <w:t>= 566.9076556538167 * e^(1.2594779489400123</w:t>
            </w:r>
            <w:r>
              <w:rPr>
                <w:sz w:val="18"/>
                <w:szCs w:val="18"/>
              </w:rPr>
              <w:t>*</w:t>
            </w:r>
            <w:r>
              <w:rPr>
                <w:sz w:val="18"/>
                <w:szCs w:val="18"/>
                <w:lang w:val="en-US"/>
              </w:rPr>
              <w:t>F</w:t>
            </w:r>
            <w:r>
              <w:rPr>
                <w:sz w:val="18"/>
                <w:szCs w:val="18"/>
              </w:rPr>
              <w:t>1+0.45138640127628005*</w:t>
            </w:r>
            <w:r>
              <w:rPr>
                <w:sz w:val="18"/>
                <w:szCs w:val="18"/>
                <w:lang w:val="en-US"/>
              </w:rPr>
              <w:t>F</w:t>
            </w:r>
            <w:r>
              <w:rPr>
                <w:sz w:val="18"/>
                <w:szCs w:val="18"/>
              </w:rPr>
              <w:t>2-0.1822497808881094*</w:t>
            </w:r>
            <w:r>
              <w:rPr>
                <w:sz w:val="18"/>
                <w:szCs w:val="18"/>
                <w:lang w:val="en-US"/>
              </w:rPr>
              <w:t>F</w:t>
            </w:r>
            <w:r>
              <w:rPr>
                <w:sz w:val="18"/>
                <w:szCs w:val="18"/>
              </w:rPr>
              <w:t>3+0.725737822987055*</w:t>
            </w:r>
            <w:r>
              <w:rPr>
                <w:sz w:val="18"/>
                <w:szCs w:val="18"/>
                <w:lang w:val="en-US"/>
              </w:rPr>
              <w:t>F</w:t>
            </w:r>
            <w:r>
              <w:rPr>
                <w:sz w:val="18"/>
                <w:szCs w:val="18"/>
              </w:rPr>
              <w:t>4)</w:t>
            </w:r>
          </w:p>
        </w:tc>
        <w:tc>
          <w:tcPr>
            <w:tcW w:w="154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54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историко-культурного центра</w:t>
            </w:r>
          </w:p>
        </w:tc>
        <w:tc>
          <w:tcPr>
            <w:tcW w:w="57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74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7033.573157894737/(3508.8500000000004+X0)</w:t>
            </w:r>
          </w:p>
        </w:tc>
        <w:tc>
          <w:tcPr>
            <w:tcW w:w="154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0,326247134</w:t>
            </w:r>
          </w:p>
        </w:tc>
      </w:tr>
      <w:tr w:rsidR="00E85D42">
        <w:tblPrEx>
          <w:tblCellMar>
            <w:top w:w="0" w:type="dxa"/>
            <w:bottom w:w="0" w:type="dxa"/>
          </w:tblCellMar>
        </w:tblPrEx>
        <w:trPr>
          <w:trHeight w:val="525"/>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крупных торговых объектов</w:t>
            </w:r>
          </w:p>
        </w:tc>
        <w:tc>
          <w:tcPr>
            <w:tcW w:w="57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74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1521.5644736842105/(966.032+X1)</w:t>
            </w:r>
          </w:p>
        </w:tc>
        <w:tc>
          <w:tcPr>
            <w:tcW w:w="154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0,961073671</w:t>
            </w:r>
          </w:p>
        </w:tc>
      </w:tr>
      <w:tr w:rsidR="00E85D42">
        <w:tblPrEx>
          <w:tblCellMar>
            <w:top w:w="0" w:type="dxa"/>
            <w:bottom w:w="0" w:type="dxa"/>
          </w:tblCellMar>
        </w:tblPrEx>
        <w:trPr>
          <w:trHeight w:val="30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административного центра</w:t>
            </w:r>
          </w:p>
        </w:tc>
        <w:tc>
          <w:tcPr>
            <w:tcW w:w="57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F3</w:t>
            </w:r>
          </w:p>
        </w:tc>
        <w:tc>
          <w:tcPr>
            <w:tcW w:w="474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9074.739421052633/(4242.8096000000005+X2)</w:t>
            </w:r>
          </w:p>
        </w:tc>
        <w:tc>
          <w:tcPr>
            <w:tcW w:w="154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0,607515929</w:t>
            </w:r>
          </w:p>
        </w:tc>
      </w:tr>
      <w:tr w:rsidR="00E85D42">
        <w:tblPrEx>
          <w:tblCellMar>
            <w:top w:w="0" w:type="dxa"/>
            <w:bottom w:w="0" w:type="dxa"/>
          </w:tblCellMar>
        </w:tblPrEx>
        <w:trPr>
          <w:trHeight w:val="30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остановок общественного транспорта</w:t>
            </w:r>
          </w:p>
        </w:tc>
        <w:tc>
          <w:tcPr>
            <w:tcW w:w="57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F4</w:t>
            </w:r>
          </w:p>
        </w:tc>
        <w:tc>
          <w:tcPr>
            <w:tcW w:w="474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330.8068421052632/(431.18000000000006+X3)</w:t>
            </w:r>
          </w:p>
        </w:tc>
        <w:tc>
          <w:tcPr>
            <w:tcW w:w="154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0,503055037</w:t>
            </w:r>
          </w:p>
        </w:tc>
      </w:tr>
    </w:tbl>
    <w:p w:rsidR="00E85D42" w:rsidRDefault="00E85D42">
      <w:pPr>
        <w:pStyle w:val="Standarduser"/>
        <w:jc w:val="both"/>
      </w:pPr>
    </w:p>
    <w:p w:rsidR="00E85D42" w:rsidRDefault="008113B9">
      <w:pPr>
        <w:pStyle w:val="Standarduser"/>
        <w:jc w:val="both"/>
      </w:pPr>
      <w:r>
        <w:t xml:space="preserve">Далее </w:t>
      </w:r>
      <w:r>
        <w:t>в таблице приведен анализ качества модели:</w:t>
      </w:r>
    </w:p>
    <w:p w:rsidR="00E85D42" w:rsidRDefault="008113B9">
      <w:pPr>
        <w:pStyle w:val="Standarduser"/>
        <w:jc w:val="right"/>
      </w:pPr>
      <w:r>
        <w:t>Таблица 3.6.3.6</w:t>
      </w:r>
    </w:p>
    <w:tbl>
      <w:tblPr>
        <w:tblW w:w="5000" w:type="pct"/>
        <w:tblCellMar>
          <w:left w:w="10" w:type="dxa"/>
          <w:right w:w="10" w:type="dxa"/>
        </w:tblCellMar>
        <w:tblLook w:val="04A0" w:firstRow="1" w:lastRow="0" w:firstColumn="1" w:lastColumn="0" w:noHBand="0" w:noVBand="1"/>
      </w:tblPr>
      <w:tblGrid>
        <w:gridCol w:w="812"/>
        <w:gridCol w:w="4358"/>
        <w:gridCol w:w="2176"/>
        <w:gridCol w:w="2368"/>
      </w:tblGrid>
      <w:tr w:rsidR="00E85D42">
        <w:tblPrEx>
          <w:tblCellMar>
            <w:top w:w="0" w:type="dxa"/>
            <w:bottom w:w="0" w:type="dxa"/>
          </w:tblCellMar>
        </w:tblPrEx>
        <w:trPr>
          <w:trHeight w:val="30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 п/п</w:t>
            </w:r>
          </w:p>
        </w:tc>
        <w:tc>
          <w:tcPr>
            <w:tcW w:w="435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Название статистически значимой модели</w:t>
            </w:r>
          </w:p>
        </w:tc>
        <w:tc>
          <w:tcPr>
            <w:tcW w:w="4544"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Экспоненциальная модель</w:t>
            </w:r>
          </w:p>
        </w:tc>
      </w:tr>
      <w:tr w:rsidR="00E85D42">
        <w:tblPrEx>
          <w:tblCellMar>
            <w:top w:w="0" w:type="dxa"/>
            <w:bottom w:w="0" w:type="dxa"/>
          </w:tblCellMar>
        </w:tblPrEx>
        <w:trPr>
          <w:trHeight w:val="300"/>
        </w:trPr>
        <w:tc>
          <w:tcPr>
            <w:tcW w:w="81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435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Обучающая выборка</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Контрольная выборка</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1</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Средняя относительная погрешность оценки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0,171834</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0,229767</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2</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 xml:space="preserve">Коэффициент </w:t>
            </w:r>
            <w:r>
              <w:rPr>
                <w:color w:val="000000"/>
              </w:rPr>
              <w:t>детерминации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0,954938</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0,842648</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3</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Отношение суммы невязок к средней стоимости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0,053002</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1,673272</w:t>
            </w:r>
          </w:p>
        </w:tc>
      </w:tr>
    </w:tbl>
    <w:p w:rsidR="00E85D42" w:rsidRDefault="00E85D42">
      <w:pPr>
        <w:pStyle w:val="Standarduser"/>
        <w:jc w:val="both"/>
      </w:pPr>
    </w:p>
    <w:p w:rsidR="00E85D42" w:rsidRDefault="00E85D42">
      <w:pPr>
        <w:pStyle w:val="Standarduser"/>
        <w:jc w:val="both"/>
      </w:pPr>
    </w:p>
    <w:p w:rsidR="00E85D42" w:rsidRDefault="008113B9">
      <w:pPr>
        <w:pStyle w:val="Standarduser"/>
        <w:tabs>
          <w:tab w:val="left" w:pos="1134"/>
        </w:tabs>
        <w:spacing w:before="120" w:line="288" w:lineRule="auto"/>
        <w:jc w:val="both"/>
        <w:rPr>
          <w:b/>
        </w:rPr>
      </w:pPr>
      <w:r>
        <w:rPr>
          <w:b/>
        </w:rPr>
        <w:t>Земельные участки, предназначенные для размещения зданий общественного использования в сельских НП:</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pStyle w:val="Standarduser"/>
        <w:jc w:val="both"/>
      </w:pPr>
      <w:r>
        <w:t xml:space="preserve">УПКС = </w:t>
      </w:r>
      <w:r>
        <w:t>348.23332264990023 * e^(-0.07731477121447528*Численность населения в населенном пункте+0.8312888287186015*Расстояние от НП до столицы субъекта РФ)</w:t>
      </w:r>
      <w:r>
        <w:tab/>
      </w:r>
    </w:p>
    <w:p w:rsidR="00E85D42" w:rsidRDefault="008113B9">
      <w:pPr>
        <w:pStyle w:val="Standarduser"/>
        <w:jc w:val="right"/>
      </w:pPr>
      <w:r>
        <w:t>Таблица 3.6.3.7</w:t>
      </w:r>
    </w:p>
    <w:tbl>
      <w:tblPr>
        <w:tblW w:w="5000" w:type="pct"/>
        <w:tblLayout w:type="fixed"/>
        <w:tblCellMar>
          <w:left w:w="10" w:type="dxa"/>
          <w:right w:w="10" w:type="dxa"/>
        </w:tblCellMar>
        <w:tblLook w:val="04A0" w:firstRow="1" w:lastRow="0" w:firstColumn="1" w:lastColumn="0" w:noHBand="0" w:noVBand="1"/>
      </w:tblPr>
      <w:tblGrid>
        <w:gridCol w:w="2844"/>
        <w:gridCol w:w="575"/>
        <w:gridCol w:w="4892"/>
        <w:gridCol w:w="1403"/>
      </w:tblGrid>
      <w:tr w:rsidR="00E85D42">
        <w:tblPrEx>
          <w:tblCellMar>
            <w:top w:w="0" w:type="dxa"/>
            <w:bottom w:w="0" w:type="dxa"/>
          </w:tblCellMar>
        </w:tblPrEx>
        <w:trPr>
          <w:trHeight w:val="645"/>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w:t>
            </w:r>
            <w:r>
              <w:t xml:space="preserve"> </w:t>
            </w:r>
            <w:r>
              <w:rPr>
                <w:sz w:val="18"/>
                <w:szCs w:val="18"/>
              </w:rPr>
              <w:t>= 348.23332264990023 * e^(-0.07731477121447528</w:t>
            </w:r>
            <w:r>
              <w:rPr>
                <w:sz w:val="18"/>
                <w:szCs w:val="18"/>
              </w:rPr>
              <w:t>*</w:t>
            </w:r>
            <w:r>
              <w:rPr>
                <w:sz w:val="18"/>
                <w:szCs w:val="18"/>
                <w:lang w:val="en-US"/>
              </w:rPr>
              <w:t>F</w:t>
            </w:r>
            <w:r>
              <w:rPr>
                <w:sz w:val="18"/>
                <w:szCs w:val="18"/>
              </w:rPr>
              <w:t>1+0.8312888287186015*</w:t>
            </w:r>
            <w:r>
              <w:rPr>
                <w:sz w:val="18"/>
                <w:szCs w:val="18"/>
                <w:lang w:val="en-US"/>
              </w:rPr>
              <w:t>F</w:t>
            </w:r>
            <w:r>
              <w:rPr>
                <w:sz w:val="18"/>
                <w:szCs w:val="18"/>
              </w:rPr>
              <w:t>2)</w:t>
            </w:r>
            <w:r>
              <w:rPr>
                <w:sz w:val="18"/>
                <w:szCs w:val="18"/>
              </w:rPr>
              <w:tab/>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315"/>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Численность населения в населенном пункте</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(1424.0+X0)/3779.318181818182</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0,946952974</w:t>
            </w:r>
          </w:p>
        </w:tc>
      </w:tr>
      <w:tr w:rsidR="00E85D42">
        <w:tblPrEx>
          <w:tblCellMar>
            <w:top w:w="0" w:type="dxa"/>
            <w:bottom w:w="0" w:type="dxa"/>
          </w:tblCellMar>
        </w:tblPrEx>
        <w:trPr>
          <w:trHeight w:val="300"/>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от НП до столицы субъекта РФ</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175.8181818181818/(59.0+X1)</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0,031652495</w:t>
            </w:r>
          </w:p>
        </w:tc>
      </w:tr>
    </w:tbl>
    <w:p w:rsidR="00E85D42" w:rsidRDefault="008113B9">
      <w:pPr>
        <w:pStyle w:val="Standarduser"/>
        <w:jc w:val="both"/>
      </w:pPr>
      <w:r>
        <w:t xml:space="preserve">Далее в таблице приведен анализ качества </w:t>
      </w:r>
      <w:r>
        <w:t>модели:</w:t>
      </w:r>
    </w:p>
    <w:p w:rsidR="00E85D42" w:rsidRDefault="008113B9">
      <w:pPr>
        <w:pStyle w:val="Standarduser"/>
        <w:jc w:val="right"/>
      </w:pPr>
      <w:r>
        <w:t>Таблица 3.6.3.8</w:t>
      </w:r>
    </w:p>
    <w:tbl>
      <w:tblPr>
        <w:tblW w:w="5000" w:type="pct"/>
        <w:tblCellMar>
          <w:left w:w="10" w:type="dxa"/>
          <w:right w:w="10" w:type="dxa"/>
        </w:tblCellMar>
        <w:tblLook w:val="04A0" w:firstRow="1" w:lastRow="0" w:firstColumn="1" w:lastColumn="0" w:noHBand="0" w:noVBand="1"/>
      </w:tblPr>
      <w:tblGrid>
        <w:gridCol w:w="812"/>
        <w:gridCol w:w="4358"/>
        <w:gridCol w:w="2176"/>
        <w:gridCol w:w="2368"/>
      </w:tblGrid>
      <w:tr w:rsidR="00E85D42">
        <w:tblPrEx>
          <w:tblCellMar>
            <w:top w:w="0" w:type="dxa"/>
            <w:bottom w:w="0" w:type="dxa"/>
          </w:tblCellMar>
        </w:tblPrEx>
        <w:trPr>
          <w:trHeight w:val="30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 п/п</w:t>
            </w:r>
          </w:p>
        </w:tc>
        <w:tc>
          <w:tcPr>
            <w:tcW w:w="435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Название статистически значимой модели</w:t>
            </w:r>
          </w:p>
        </w:tc>
        <w:tc>
          <w:tcPr>
            <w:tcW w:w="4544"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Экспоненциальная модель</w:t>
            </w:r>
          </w:p>
        </w:tc>
      </w:tr>
      <w:tr w:rsidR="00E85D42">
        <w:tblPrEx>
          <w:tblCellMar>
            <w:top w:w="0" w:type="dxa"/>
            <w:bottom w:w="0" w:type="dxa"/>
          </w:tblCellMar>
        </w:tblPrEx>
        <w:trPr>
          <w:trHeight w:val="300"/>
        </w:trPr>
        <w:tc>
          <w:tcPr>
            <w:tcW w:w="81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435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Обучающая выборка</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Контрольная выборка</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1</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Средняя относительная погрешность оценки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0,190777</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0,21947</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2</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Коэффициент детерминации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0,962545</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0,944533</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3</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 xml:space="preserve">Отношение </w:t>
            </w:r>
            <w:r>
              <w:rPr>
                <w:color w:val="000000"/>
              </w:rPr>
              <w:t>суммы невязок к средней стоимости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0,307547</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-0,08298</w:t>
            </w:r>
          </w:p>
        </w:tc>
      </w:tr>
    </w:tbl>
    <w:p w:rsidR="00E85D42" w:rsidRDefault="00E85D42">
      <w:pPr>
        <w:pStyle w:val="ab"/>
        <w:rPr>
          <w:b/>
        </w:rPr>
      </w:pP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На этапе определения факторов стоимости, участвующих в расчете кадастровой стоимости, на основании анализа рынка недвижимости, были отобраны наиболее значимые факторов стоимости, формирующие цену </w:t>
      </w:r>
      <w:r>
        <w:rPr>
          <w:rFonts w:ascii="Times New Roman" w:hAnsi="Times New Roman"/>
          <w:sz w:val="24"/>
          <w:szCs w:val="24"/>
        </w:rPr>
        <w:t>предложения и/или цену спроса за земельный участок конкретного вида разрешенного использования. С целью дифференциации удельного показателя кадастровой стоимости на территории Республики Башкортостан, при построении модели, преимущество отдавалось количест</w:t>
      </w:r>
      <w:r>
        <w:rPr>
          <w:rFonts w:ascii="Times New Roman" w:hAnsi="Times New Roman"/>
          <w:sz w:val="24"/>
          <w:szCs w:val="24"/>
        </w:rPr>
        <w:t>венным факторам стоимости, характеризующим местоположение и окружение земельного участка. Однако ввиду недостаточно динамичного развития рынка недвижимости имела место нехватка достоверной и достаточной рыночной информации об объектах-аналогах. Тем не мене</w:t>
      </w:r>
      <w:r>
        <w:rPr>
          <w:rFonts w:ascii="Times New Roman" w:hAnsi="Times New Roman"/>
          <w:sz w:val="24"/>
          <w:szCs w:val="24"/>
        </w:rPr>
        <w:t>е, несмотря на то, что объекты-аналоги «покрывали» не всю территорию, занятую объектами оценки (были не репрезентативны), по имеющейся информации можно было проследить зависимость цены объекта от значения фактора стоимости. При этом данные зависимости отоб</w:t>
      </w:r>
      <w:r>
        <w:rPr>
          <w:rFonts w:ascii="Times New Roman" w:hAnsi="Times New Roman"/>
          <w:sz w:val="24"/>
          <w:szCs w:val="24"/>
        </w:rPr>
        <w:t>ражали действительную ситуацию на рынке земельных участков (а именно в части формирования стоимости земельных участков).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При анализе мультиколлинеарности факторов стоимости, несмотря на достаточное значе</w:t>
      </w:r>
      <w:r>
        <w:rPr>
          <w:rFonts w:ascii="Times New Roman" w:hAnsi="Times New Roman"/>
          <w:sz w:val="24"/>
          <w:szCs w:val="24"/>
        </w:rPr>
        <w:softHyphen/>
        <w:t>ние коэффициента парной корреляции между факторами с</w:t>
      </w:r>
      <w:r>
        <w:rPr>
          <w:rFonts w:ascii="Times New Roman" w:hAnsi="Times New Roman"/>
          <w:sz w:val="24"/>
          <w:szCs w:val="24"/>
        </w:rPr>
        <w:t>тоимости в ряде случаев, оба фактора могли быть оставлены для дальнейшего моделирования, поскольку в условиях, когда значения данных факторов имеют дифференциацию между земельными участками, расположенными в пре</w:t>
      </w:r>
      <w:r>
        <w:rPr>
          <w:rFonts w:ascii="Times New Roman" w:hAnsi="Times New Roman"/>
          <w:sz w:val="24"/>
          <w:szCs w:val="24"/>
        </w:rPr>
        <w:softHyphen/>
        <w:t>делах одно и того же населенного пункта, вза</w:t>
      </w:r>
      <w:r>
        <w:rPr>
          <w:rFonts w:ascii="Times New Roman" w:hAnsi="Times New Roman"/>
          <w:sz w:val="24"/>
          <w:szCs w:val="24"/>
        </w:rPr>
        <w:t>имозависимость указанных факторов можно при</w:t>
      </w:r>
      <w:r>
        <w:rPr>
          <w:rFonts w:ascii="Times New Roman" w:hAnsi="Times New Roman"/>
          <w:sz w:val="24"/>
          <w:szCs w:val="24"/>
        </w:rPr>
        <w:softHyphen/>
        <w:t>знать в достаточной степени условной.</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При выборе факторов стоимости для моделирования также учитывался тот факт, что полученная зависимость между фактором стоимости и УПКС для объектов аналогов должна соответство</w:t>
      </w:r>
      <w:r>
        <w:rPr>
          <w:rFonts w:ascii="Times New Roman" w:hAnsi="Times New Roman"/>
          <w:sz w:val="24"/>
          <w:szCs w:val="24"/>
        </w:rPr>
        <w:t>вать зависимости между фактором стоимости и УПКС для объектов оценки. В связи с этим в ряде случаях, несмотря на высокий коэффициент значимости, фактор стоимости не участвовал в построении модели.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Результат выбора факторов стоимости для построения моделей </w:t>
      </w:r>
      <w:r>
        <w:rPr>
          <w:rFonts w:ascii="Times New Roman" w:hAnsi="Times New Roman"/>
          <w:sz w:val="24"/>
          <w:szCs w:val="24"/>
        </w:rPr>
        <w:t xml:space="preserve">по каждой сформированной группе отображен в Таблице «Анализ модели 3 сегмент» Приложения 2.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Построенная статистическая модель должна выражать зависимость кадастровой стоимости или удельного показателя кадастровой стоимости от значений факторов стоимости.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Если построенная статистическая модель выражает зависимость кадастровой стоимости земельного участка от значений факторов стоимости, то расчет кадастровой стоимости земельных участков в составе земель населенных пунктов осуществляется подстановкой значени</w:t>
      </w:r>
      <w:r>
        <w:rPr>
          <w:rFonts w:ascii="Times New Roman" w:hAnsi="Times New Roman"/>
          <w:sz w:val="24"/>
          <w:szCs w:val="24"/>
        </w:rPr>
        <w:t>й факторов стоимости земельных участков в составе земель населенных пунктов в статистическую модель расчета кадастровой стоимости земельных участков в составе земель населенных пунктов.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Если построенная статистическая модель выражает зависимость удельного </w:t>
      </w:r>
      <w:r>
        <w:rPr>
          <w:rFonts w:ascii="Times New Roman" w:hAnsi="Times New Roman"/>
          <w:sz w:val="24"/>
          <w:szCs w:val="24"/>
        </w:rPr>
        <w:t>показателя кадастровой стоимости земельного участка от значений факторов стоимости, кадастровая стоимость земельного участка определяется следующим образом:</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определяется удельный показатель кадастровой стоимости земельного участка путем подстановки значе</w:t>
      </w:r>
      <w:r>
        <w:rPr>
          <w:rFonts w:ascii="Times New Roman" w:hAnsi="Times New Roman"/>
          <w:sz w:val="24"/>
          <w:szCs w:val="24"/>
        </w:rPr>
        <w:t>ний факторов стоимости земельного участка в статистическую модель расчета удельного показателя кадастровой стоимости земельных участков в составе земель населенных пунктов;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определяется кадастровая стоимость земельного участка путем умножения удельного п</w:t>
      </w:r>
      <w:r>
        <w:rPr>
          <w:rFonts w:ascii="Times New Roman" w:hAnsi="Times New Roman"/>
          <w:sz w:val="24"/>
          <w:szCs w:val="24"/>
        </w:rPr>
        <w:t>оказателя кадастровой стоимости земельного участка на площадь земельного участка.</w:t>
      </w:r>
    </w:p>
    <w:p w:rsidR="00E85D42" w:rsidRDefault="00E85D42">
      <w:pPr>
        <w:pStyle w:val="af0"/>
        <w:spacing w:after="0"/>
        <w:ind w:left="0" w:firstLine="708"/>
      </w:pPr>
    </w:p>
    <w:p w:rsidR="00E85D42" w:rsidRDefault="008113B9">
      <w:pPr>
        <w:ind w:firstLine="708"/>
        <w:jc w:val="both"/>
      </w:pPr>
      <w:r>
        <w:rPr>
          <w:sz w:val="24"/>
          <w:szCs w:val="24"/>
        </w:rPr>
        <w:t xml:space="preserve">Для определение кадастровой стоимости земельных участков </w:t>
      </w:r>
      <w:r>
        <w:rPr>
          <w:i/>
          <w:sz w:val="24"/>
          <w:szCs w:val="24"/>
        </w:rPr>
        <w:t xml:space="preserve">с видами использования </w:t>
      </w:r>
      <w:r>
        <w:rPr>
          <w:rStyle w:val="inlinelabel"/>
          <w:bCs/>
          <w:i/>
          <w:sz w:val="24"/>
          <w:szCs w:val="24"/>
        </w:rPr>
        <w:t>01:143, 03:020, 03:021, 03:022, 03:023, 03:040, 03:041, 03:042, 03:050, 03:051, 03:052, 03:06</w:t>
      </w:r>
      <w:r>
        <w:rPr>
          <w:rStyle w:val="inlinelabel"/>
          <w:bCs/>
          <w:i/>
          <w:sz w:val="24"/>
          <w:szCs w:val="24"/>
        </w:rPr>
        <w:t>0, 03:061, 03:062, 03:070, 03:071, 03:072, 03:073, 03:090, 03:091, 03:092, 03:100, 03:101, 03:102, 03:103, 05:010, 05:011, 05:012, 05:020, 05:021, 05:051, 07:021, 07:022, 08:022, 08:030, 08:041, 09:030</w:t>
      </w:r>
      <w:r>
        <w:rPr>
          <w:rStyle w:val="inlinelabel"/>
          <w:b/>
          <w:bCs/>
          <w:sz w:val="24"/>
          <w:szCs w:val="24"/>
        </w:rPr>
        <w:t xml:space="preserve"> </w:t>
      </w:r>
      <w:r>
        <w:rPr>
          <w:rStyle w:val="inlinelabel"/>
          <w:bCs/>
          <w:sz w:val="24"/>
          <w:szCs w:val="24"/>
        </w:rPr>
        <w:t>был применен корректирующий коэффициент в соответствии</w:t>
      </w:r>
      <w:r>
        <w:rPr>
          <w:rStyle w:val="inlinelabel"/>
          <w:bCs/>
          <w:sz w:val="24"/>
          <w:szCs w:val="24"/>
        </w:rPr>
        <w:t xml:space="preserve"> с видом использования согласно таблице</w:t>
      </w:r>
      <w:r>
        <w:rPr>
          <w:rStyle w:val="af4"/>
          <w:bCs/>
          <w:sz w:val="24"/>
          <w:szCs w:val="24"/>
        </w:rPr>
        <w:footnoteReference w:id="26"/>
      </w:r>
      <w:r>
        <w:rPr>
          <w:rStyle w:val="inlinelabel"/>
          <w:bCs/>
          <w:sz w:val="24"/>
          <w:szCs w:val="24"/>
        </w:rPr>
        <w:t>:</w:t>
      </w:r>
    </w:p>
    <w:p w:rsidR="00E85D42" w:rsidRDefault="008113B9">
      <w:pPr>
        <w:pStyle w:val="Standarduser"/>
        <w:jc w:val="right"/>
      </w:pPr>
      <w:r>
        <w:t>Таблица 3.6.3.9</w:t>
      </w:r>
    </w:p>
    <w:tbl>
      <w:tblPr>
        <w:tblW w:w="5000" w:type="pct"/>
        <w:jc w:val="center"/>
        <w:tblCellMar>
          <w:left w:w="10" w:type="dxa"/>
          <w:right w:w="10" w:type="dxa"/>
        </w:tblCellMar>
        <w:tblLook w:val="04A0" w:firstRow="1" w:lastRow="0" w:firstColumn="1" w:lastColumn="0" w:noHBand="0" w:noVBand="1"/>
      </w:tblPr>
      <w:tblGrid>
        <w:gridCol w:w="6009"/>
        <w:gridCol w:w="1438"/>
        <w:gridCol w:w="2267"/>
      </w:tblGrid>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Наименование</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Код ВРИ</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rStyle w:val="inlinelabel"/>
                <w:bCs/>
              </w:rPr>
              <w:t>Корректирующий</w:t>
            </w:r>
          </w:p>
          <w:p w:rsidR="00E85D42" w:rsidRDefault="008113B9">
            <w:pPr>
              <w:jc w:val="center"/>
            </w:pPr>
            <w:r>
              <w:rPr>
                <w:rStyle w:val="inlinelabel"/>
                <w:bCs/>
              </w:rPr>
              <w:t>коэффициент</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Научное обеспечение сельского </w:t>
            </w:r>
            <w:r>
              <w:rPr>
                <w:color w:val="000000"/>
                <w:sz w:val="18"/>
                <w:szCs w:val="18"/>
              </w:rPr>
              <w:t>хозяйства. Размещение зданий, сооружений, оборудования, необходимых для осуществления научного обеспечения сельского хозяйства, включая размещение коллекций генетических ресурсов растений</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01:143</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Коммунальное обслуживание в целом</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03:010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0,613208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Коммунальное обслуживание. Размещение ОКС в целях обеспечения физических и юридических лиц коммунальными услугами, в частности: зданий или помещений, предназначенных для приема физических и юридических лиц в связи с предоставлением им коммунальных услуг</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w:t>
            </w:r>
            <w:r>
              <w:rPr>
                <w:color w:val="000000"/>
                <w:sz w:val="18"/>
                <w:szCs w:val="18"/>
              </w:rPr>
              <w:t>:013</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0,613208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Социальное обслуживание в целом</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03:020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Социальное обслуживание. Размещение ОКС, предназначенных для оказания гражданам социальной помощи (службы занятости населения, дома престарелых, дома ребенка, детские дома, пункты питания </w:t>
            </w:r>
            <w:r>
              <w:rPr>
                <w:color w:val="000000"/>
                <w:sz w:val="18"/>
                <w:szCs w:val="18"/>
              </w:rPr>
              <w:t>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w:t>
            </w:r>
            <w:r>
              <w:rPr>
                <w:color w:val="000000"/>
                <w:sz w:val="18"/>
                <w:szCs w:val="18"/>
              </w:rPr>
              <w:t>и пенсионных выплат)</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03:021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Социальное обслуживание. Размещение ОКС для размещения отделений почты и телеграфа</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03:022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Социальное обслуживание. Размещение ОКС для размещения общественных некоммерческих организаций: благотворительных орга</w:t>
            </w:r>
            <w:r>
              <w:rPr>
                <w:color w:val="000000"/>
                <w:sz w:val="18"/>
                <w:szCs w:val="18"/>
              </w:rPr>
              <w:t>низаций, клубов по интересам</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03:023</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Бытовое обслуживание в целом</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03:030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0,669811</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Бытовое обслуживание. Размещение ОКС, предназначенных для оказания населению или организациям бытовых услуг. Мастерские мелкого ремонта, ателье</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03:031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0,669811</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Бытовое обслуживание. Размещение ОКС, предназначенных для оказания населению или организациям бытовых услуг. Бани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03:032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0,669811</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Бытовое обслуживание. Размещение ОКС, предназначенных для оказания населению или организациям бытовых услуг. Прачечные, химчи</w:t>
            </w:r>
            <w:r>
              <w:rPr>
                <w:color w:val="000000"/>
                <w:sz w:val="18"/>
                <w:szCs w:val="18"/>
              </w:rPr>
              <w:t>стки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03:033</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0,669811</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Бытовое обслуживание. Размещение ОКС, предназначенных для оказания населению или организациям бытовых услуг. Парикмахерские</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03:034</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0,669811</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Бытовое обслуживание. Размещение ОКС, предназначенных для оказания населению или организациям</w:t>
            </w:r>
            <w:r>
              <w:rPr>
                <w:color w:val="000000"/>
                <w:sz w:val="18"/>
                <w:szCs w:val="18"/>
              </w:rPr>
              <w:t xml:space="preserve"> бытовых услуг. Похоронные бюро</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03:035</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0,669811</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Здравоохранение в целом. Размещение ОКС, предназначенных для оказания гражданам медицинской помощи. Включает коды расчета вида использования 03:041 - 03:042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03:040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0,584906</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Амбулаторно-поликлиническое </w:t>
            </w:r>
            <w:r>
              <w:rPr>
                <w:color w:val="000000"/>
                <w:sz w:val="18"/>
                <w:szCs w:val="18"/>
              </w:rPr>
              <w:t>обслуживание. Размещение ОКС,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w:t>
            </w:r>
            <w:r>
              <w:rPr>
                <w:color w:val="000000"/>
                <w:sz w:val="18"/>
                <w:szCs w:val="18"/>
              </w:rPr>
              <w:t>а крови, клинические лаборатории)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03:041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0,584906</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Стационарное медицинское обслуживание. Размещение ОКС, предназначенных для оказания гражданам медицинской помощи в стационарах (больницы, родильные дома, научно-медицинские учреждения и прочие объекты, обе</w:t>
            </w:r>
            <w:r>
              <w:rPr>
                <w:color w:val="000000"/>
                <w:sz w:val="18"/>
                <w:szCs w:val="18"/>
              </w:rPr>
              <w:t>спечивающие оказание услуги по лечению в стационаре), размещение станций скорой помощи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03:042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0,584906</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Образование и просвещение в целом. Размещение ОКС, предназначенных для воспитания, образования и просвещения (детские ясли, детские сады, школы, лицеи, </w:t>
            </w:r>
            <w:r>
              <w:rPr>
                <w:color w:val="000000"/>
                <w:sz w:val="18"/>
                <w:szCs w:val="18"/>
              </w:rPr>
              <w:t>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w:t>
            </w:r>
            <w:r>
              <w:rPr>
                <w:color w:val="000000"/>
                <w:sz w:val="18"/>
                <w:szCs w:val="18"/>
              </w:rPr>
              <w:t xml:space="preserve"> осуществляющие деятельность по воспитанию, образованию и просвещению). Включает коды расчета вида использования 03.051 - 03.052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03:050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Дошкольное, начальное и среднее общее образование. Размещение ОКС, предназначенных для просвещения, дошкольног</w:t>
            </w:r>
            <w:r>
              <w:rPr>
                <w:color w:val="000000"/>
                <w:sz w:val="18"/>
                <w:szCs w:val="18"/>
              </w:rPr>
              <w:t>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03:051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Среднее и высшее профессиональное образование. Размещение ОКС,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w:t>
            </w:r>
            <w:r>
              <w:rPr>
                <w:color w:val="000000"/>
                <w:sz w:val="18"/>
                <w:szCs w:val="18"/>
              </w:rPr>
              <w:t>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размещение зданий военных училищ, военных институтов, военных университетов, военных академий</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03:052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Культурное развитие в целом</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03:060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Культурное развитие. Размещение ОКС, предназначенных для размещения в них музеев, выставочных залов, художественных галерей, библиотек, планетариев</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03:061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Культурное развитие. Размещение </w:t>
            </w:r>
            <w:r>
              <w:rPr>
                <w:color w:val="000000"/>
                <w:sz w:val="18"/>
                <w:szCs w:val="18"/>
              </w:rPr>
              <w:t>ОКС, предназначенных для размещения в них домов культуры, театров, филармоний, цирков</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03:062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Культурное развитие. Размещение зданий и сооружений для размещения зверинцев, зоопарков, океанариумов</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03:065</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Религиозное использование в целом</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03:070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Религиозное использование. Размещение ОКС, предназначенных для отправления религиозных обрядов (церкви, соборы, храмы, часовни, монастыри, скиты, мечети, синагоги, молельные дома)</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03:071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Религиозное использование. Размещение ОКС,</w:t>
            </w:r>
            <w:r>
              <w:rPr>
                <w:color w:val="000000"/>
                <w:sz w:val="18"/>
                <w:szCs w:val="18"/>
              </w:rPr>
              <w:t xml:space="preserve"> предназначенных для постоянного местонахождения духовных лиц, паломников и послушников в связи с осуществлением ими религиозной службы</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03:072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Религиозное использование. Размещение ОКС, предназначенных для осуществления благотворительной и религи</w:t>
            </w:r>
            <w:r>
              <w:rPr>
                <w:color w:val="000000"/>
                <w:sz w:val="18"/>
                <w:szCs w:val="18"/>
              </w:rPr>
              <w:t>озной образовательной деятельности (воскресные школы, семинарии, духовные училища)</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03:073</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Общественное управление в целом</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03:080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Общественное управление. Размещение ОКС, предназначенных для размещения органов государственной власти, </w:t>
            </w:r>
            <w:r>
              <w:rPr>
                <w:color w:val="000000"/>
                <w:sz w:val="18"/>
                <w:szCs w:val="18"/>
              </w:rPr>
              <w:t>органов местного самоуправления, судов, а также организаций, непосредственно обеспечивающих их деятельность</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03:081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Общественное управление. Размещение ОКС, предназначенных для размещения органов управления политических партий, профессиональных и </w:t>
            </w:r>
            <w:r>
              <w:rPr>
                <w:color w:val="000000"/>
                <w:sz w:val="18"/>
                <w:szCs w:val="18"/>
              </w:rPr>
              <w:t>отраслевых союзов, творческих союзов и иных общественных объединений граждан по отраслевому или политическому признаку</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03:082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Общественное управление. Размещение ОКС для дипломатических представительств иностранных государств и консульских учрежд</w:t>
            </w:r>
            <w:r>
              <w:rPr>
                <w:color w:val="000000"/>
                <w:sz w:val="18"/>
                <w:szCs w:val="18"/>
              </w:rPr>
              <w:t>ений в Российской Федерации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03:083</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Обеспечение научной деятельности в целом</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03:090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Обеспечение научной деятельности. Размещение ОКС для проведения научных исследований и изысканий, испытаний опытных промышленных образцов, проведения </w:t>
            </w:r>
            <w:r>
              <w:rPr>
                <w:color w:val="000000"/>
                <w:sz w:val="18"/>
                <w:szCs w:val="18"/>
              </w:rPr>
              <w:t>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 - производственных, лабораторных и иных подобных зданий, необходимых для обеспечения научной деятельнос</w:t>
            </w:r>
            <w:r>
              <w:rPr>
                <w:color w:val="000000"/>
                <w:sz w:val="18"/>
                <w:szCs w:val="18"/>
              </w:rPr>
              <w:t>ти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03:091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Обеспечение научной деятельности. Размещение ОКС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w:t>
            </w:r>
            <w:r>
              <w:rPr>
                <w:color w:val="000000"/>
                <w:sz w:val="18"/>
                <w:szCs w:val="18"/>
              </w:rPr>
              <w:t>нтры, государственные академии наук, в том числе отраслевые) - административных зданий научно-исследовательских организаций</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03:092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Ветеринарное обслуживание в целом. Размещение ОКС, предназначенных для оказания ветеринарных услуг, содержания или </w:t>
            </w:r>
            <w:r>
              <w:rPr>
                <w:color w:val="000000"/>
                <w:sz w:val="18"/>
                <w:szCs w:val="18"/>
              </w:rPr>
              <w:t>разведения животных, не являющихся сельскохозяйственными, под надзором человека. Включает коды расчет вида использования 03:101 - 03:104</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03:100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Амбулаторное ветеринарное обслуживание. Размещение ОКС, предназначенных для оказания ветеринарных </w:t>
            </w:r>
            <w:r>
              <w:rPr>
                <w:color w:val="000000"/>
                <w:sz w:val="18"/>
                <w:szCs w:val="18"/>
              </w:rPr>
              <w:t>услуг без содержания животных</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03:101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Приюты для животных. Размещение ОКС, предназначенных для оказания ветеринарных услуг в стационаре</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03:102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Приюты для животных. Размещение ОКС, предназначенных для содержания, разведения животных, не я</w:t>
            </w:r>
            <w:r>
              <w:rPr>
                <w:color w:val="000000"/>
                <w:sz w:val="18"/>
                <w:szCs w:val="18"/>
              </w:rPr>
              <w:t>вляющихся сельскохозяйственными, под надзором человека, оказания услуг по содержанию и лечению бездомных животных</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03:103</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Приюты для животных. Размещение ОКС, предназначенных для организации гостиниц для животных</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03:104</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Спорт в целом. </w:t>
            </w:r>
            <w:r>
              <w:rPr>
                <w:color w:val="000000"/>
                <w:sz w:val="18"/>
                <w:szCs w:val="18"/>
              </w:rPr>
              <w:t>Размещение ОКС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w:t>
            </w:r>
            <w:r>
              <w:rPr>
                <w:color w:val="000000"/>
                <w:sz w:val="18"/>
                <w:szCs w:val="18"/>
              </w:rPr>
              <w:t>портивные стрельбища), в том числе водным спортом (причалы и сооружения, необходимые для водных видов спорта и хранения соответствующего инвентаря)</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05:010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Спорт. Размещение ОКС в качестве спортивных клубов, спортивных залов, бассейнов</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05:011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w:t>
            </w:r>
            <w:r>
              <w:rPr>
                <w:color w:val="000000"/>
                <w:sz w:val="18"/>
                <w:szCs w:val="18"/>
              </w:rPr>
              <w:t>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Спорт.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сооружения для хранения соответствующе</w:t>
            </w:r>
            <w:r>
              <w:rPr>
                <w:color w:val="000000"/>
                <w:sz w:val="18"/>
                <w:szCs w:val="18"/>
              </w:rPr>
              <w:t>го инвентаря</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05:012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Природно-познавательный туризм. Размещение баз и палаточных лагерей для проведения походов и экскурсий по ознакомлению с природой, пеших и конных прогулок</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05:020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0,075472</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Природно-познавательный туризм. Устройство троп и </w:t>
            </w:r>
            <w:r>
              <w:rPr>
                <w:color w:val="000000"/>
                <w:sz w:val="18"/>
                <w:szCs w:val="18"/>
              </w:rPr>
              <w:t>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05:021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0,075472</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Поля для гольфа или конных прогулок. Размещение конноспортивных манежей,</w:t>
            </w:r>
            <w:r>
              <w:rPr>
                <w:color w:val="000000"/>
                <w:sz w:val="18"/>
                <w:szCs w:val="18"/>
              </w:rPr>
              <w:t xml:space="preserve"> не предусматривающих устройство трибун</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05:051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0,066038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Автомобильный транспорт. Размещение зданий и сооружений, предназначенных для обслуживания пассажиров</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07:021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Автомобильный транспорт. Размещение зданий и сооружений, обеспечивающих работу </w:t>
            </w:r>
            <w:r>
              <w:rPr>
                <w:color w:val="000000"/>
                <w:sz w:val="18"/>
                <w:szCs w:val="18"/>
              </w:rPr>
              <w:t>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07:022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 xml:space="preserve">Обеспечение вооруженных сил, охрана Государственной границы Российской Федерации. </w:t>
            </w:r>
            <w:r>
              <w:rPr>
                <w:color w:val="000000"/>
                <w:sz w:val="18"/>
                <w:szCs w:val="18"/>
              </w:rPr>
              <w:t>Размещение зданий для размещения воинских, в том числе пограничных воинских, частей и органов управления ими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08:022</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Обеспечение внутреннего правопорядка. Размещение ОКС, необходимых для подготовки и поддержания в готовности органов внутренних дел</w:t>
            </w:r>
            <w:r>
              <w:rPr>
                <w:color w:val="000000"/>
                <w:sz w:val="18"/>
                <w:szCs w:val="18"/>
              </w:rPr>
              <w:t xml:space="preserve"> и спасательных служб, в которых существует военизированная служба</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08:030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Обеспечение деятельности по исполнению наказаний. Размещение ОКС для создания мест лишения свободы (поселения)</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08:041</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r w:rsidR="00E85D42">
        <w:tblPrEx>
          <w:tblCellMar>
            <w:top w:w="0" w:type="dxa"/>
            <w:bottom w:w="0" w:type="dxa"/>
          </w:tblCellMar>
        </w:tblPrEx>
        <w:trPr>
          <w:trHeight w:val="20"/>
          <w:jc w:val="center"/>
        </w:trPr>
        <w:tc>
          <w:tcPr>
            <w:tcW w:w="6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color w:val="000000"/>
                <w:sz w:val="18"/>
                <w:szCs w:val="18"/>
              </w:rPr>
            </w:pPr>
            <w:r>
              <w:rPr>
                <w:color w:val="000000"/>
                <w:sz w:val="18"/>
                <w:szCs w:val="18"/>
              </w:rPr>
              <w:t>Историко-культурная деятельность. Сохранение</w:t>
            </w:r>
            <w:r>
              <w:rPr>
                <w:color w:val="000000"/>
                <w:sz w:val="18"/>
                <w:szCs w:val="18"/>
              </w:rPr>
              <w:t xml:space="preserve">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w:t>
            </w:r>
            <w:r>
              <w:rPr>
                <w:color w:val="000000"/>
                <w:sz w:val="18"/>
                <w:szCs w:val="18"/>
              </w:rPr>
              <w:t>оенных и гражданских захоронений, объектов культурного наследия, хозяйственная деятельность, являющаяся историческим промыслом или ремеслом</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09:030</w:t>
            </w:r>
          </w:p>
        </w:tc>
        <w:tc>
          <w:tcPr>
            <w:tcW w:w="22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0,471698</w:t>
            </w:r>
          </w:p>
        </w:tc>
      </w:tr>
    </w:tbl>
    <w:p w:rsidR="00E85D42" w:rsidRDefault="00E85D42">
      <w:pPr>
        <w:jc w:val="both"/>
        <w:rPr>
          <w:rFonts w:eastAsia="Calibri"/>
          <w:b/>
          <w:sz w:val="24"/>
          <w:lang w:eastAsia="en-US"/>
        </w:rPr>
      </w:pPr>
    </w:p>
    <w:p w:rsidR="00E85D42" w:rsidRDefault="008113B9">
      <w:pPr>
        <w:pStyle w:val="8"/>
        <w:numPr>
          <w:ilvl w:val="2"/>
          <w:numId w:val="22"/>
        </w:numPr>
        <w:ind w:left="567"/>
        <w:rPr>
          <w:rFonts w:eastAsia="Calibri"/>
          <w:b/>
          <w:sz w:val="24"/>
          <w:lang w:eastAsia="en-US"/>
        </w:rPr>
      </w:pPr>
      <w:r>
        <w:rPr>
          <w:rFonts w:eastAsia="Calibri"/>
          <w:b/>
          <w:sz w:val="24"/>
          <w:lang w:eastAsia="en-US"/>
        </w:rPr>
        <w:t>Расчет кадастровой стоимости земельных участков, отнесенных по виду разрешенного использования к с</w:t>
      </w:r>
      <w:r>
        <w:rPr>
          <w:rFonts w:eastAsia="Calibri"/>
          <w:b/>
          <w:sz w:val="24"/>
          <w:lang w:eastAsia="en-US"/>
        </w:rPr>
        <w:t>егменту «Предпринимательство":01:183; 02:017; 02:053; 02:063; 03:063; 03:064; 04:010; 04:020; 04:030; 04:040; 04:050; 04:060; 04:080; 04:081; 04:082; 04:083; 04:084; 04:096; 04:100; 05:013; 05:050; 08:021;04:000</w:t>
      </w:r>
    </w:p>
    <w:p w:rsidR="00E85D42" w:rsidRDefault="008113B9">
      <w:pPr>
        <w:pStyle w:val="affffc"/>
        <w:ind w:firstLine="709"/>
        <w:jc w:val="both"/>
      </w:pPr>
      <w:r>
        <w:rPr>
          <w:rFonts w:ascii="Times New Roman" w:eastAsia="Times New Roman" w:hAnsi="Times New Roman"/>
          <w:sz w:val="24"/>
          <w:szCs w:val="24"/>
        </w:rPr>
        <w:t xml:space="preserve">Определение кадастровой стоимости земельных </w:t>
      </w:r>
      <w:r>
        <w:rPr>
          <w:rFonts w:ascii="Times New Roman" w:eastAsia="Times New Roman" w:hAnsi="Times New Roman"/>
          <w:sz w:val="24"/>
          <w:szCs w:val="24"/>
        </w:rPr>
        <w:t xml:space="preserve">участков </w:t>
      </w:r>
      <w:r>
        <w:rPr>
          <w:rFonts w:ascii="Times New Roman" w:hAnsi="Times New Roman"/>
          <w:sz w:val="24"/>
          <w:szCs w:val="24"/>
        </w:rPr>
        <w:t>в соответствии с методическими указаниями, утвержденных приказом министерства экономического развития Российской Федерации от 12.05.2017 № 226 осуществляются на основе построения статистических моделей расчета кадастровой стоимости земельных участ</w:t>
      </w:r>
      <w:r>
        <w:rPr>
          <w:rFonts w:ascii="Times New Roman" w:hAnsi="Times New Roman"/>
          <w:sz w:val="24"/>
          <w:szCs w:val="24"/>
        </w:rPr>
        <w:t xml:space="preserve">ков в следующем порядке: </w:t>
      </w:r>
    </w:p>
    <w:p w:rsidR="00E85D42" w:rsidRDefault="008113B9">
      <w:pPr>
        <w:pStyle w:val="af0"/>
        <w:spacing w:after="0"/>
        <w:ind w:left="0" w:firstLine="720"/>
        <w:rPr>
          <w:sz w:val="24"/>
        </w:rPr>
      </w:pPr>
      <w:r>
        <w:rPr>
          <w:sz w:val="24"/>
        </w:rPr>
        <w:t>– определение состава факторов стоимости земельных участков;</w:t>
      </w:r>
    </w:p>
    <w:p w:rsidR="00E85D42" w:rsidRDefault="008113B9">
      <w:pPr>
        <w:pStyle w:val="af0"/>
        <w:spacing w:after="0"/>
        <w:ind w:left="0" w:firstLine="720"/>
        <w:rPr>
          <w:sz w:val="24"/>
        </w:rPr>
      </w:pPr>
      <w:r>
        <w:rPr>
          <w:sz w:val="24"/>
        </w:rPr>
        <w:t>– сбор сведений о значениях факторов стоимости земельных участков;</w:t>
      </w:r>
    </w:p>
    <w:p w:rsidR="00E85D42" w:rsidRDefault="008113B9">
      <w:pPr>
        <w:pStyle w:val="af0"/>
        <w:spacing w:after="0"/>
        <w:ind w:left="0" w:firstLine="720"/>
        <w:rPr>
          <w:sz w:val="24"/>
        </w:rPr>
      </w:pPr>
      <w:r>
        <w:rPr>
          <w:sz w:val="24"/>
        </w:rPr>
        <w:t>– создание слоев цифровых тематических карт населенных пунктов;</w:t>
      </w:r>
    </w:p>
    <w:p w:rsidR="00E85D42" w:rsidRDefault="008113B9">
      <w:pPr>
        <w:pStyle w:val="af0"/>
        <w:spacing w:after="0"/>
        <w:ind w:left="0" w:firstLine="720"/>
        <w:rPr>
          <w:sz w:val="24"/>
        </w:rPr>
      </w:pPr>
      <w:r>
        <w:rPr>
          <w:sz w:val="24"/>
        </w:rPr>
        <w:t xml:space="preserve">– группировка земельных участков в </w:t>
      </w:r>
      <w:r>
        <w:rPr>
          <w:sz w:val="24"/>
        </w:rPr>
        <w:t>составе земель населенных пунктов;</w:t>
      </w:r>
    </w:p>
    <w:p w:rsidR="00E85D42" w:rsidRDefault="008113B9">
      <w:pPr>
        <w:pStyle w:val="af0"/>
        <w:spacing w:after="0"/>
        <w:ind w:left="0" w:firstLine="720"/>
        <w:rPr>
          <w:sz w:val="24"/>
        </w:rPr>
      </w:pPr>
      <w:r>
        <w:rPr>
          <w:sz w:val="24"/>
        </w:rPr>
        <w:t>– сбор достаточной и достоверной рыночной информации о земельных участках для каждой сформированной группы;</w:t>
      </w:r>
    </w:p>
    <w:p w:rsidR="00E85D42" w:rsidRDefault="008113B9">
      <w:pPr>
        <w:pStyle w:val="af0"/>
        <w:spacing w:after="0"/>
        <w:ind w:left="0" w:firstLine="720"/>
        <w:rPr>
          <w:sz w:val="24"/>
        </w:rPr>
      </w:pPr>
      <w:r>
        <w:rPr>
          <w:sz w:val="24"/>
        </w:rPr>
        <w:t>– построение статистических моделей расчета кадастровой стоимости для каждой сформированной группы земельных учас</w:t>
      </w:r>
      <w:r>
        <w:rPr>
          <w:sz w:val="24"/>
        </w:rPr>
        <w:t>тков;</w:t>
      </w:r>
    </w:p>
    <w:p w:rsidR="00E85D42" w:rsidRDefault="008113B9">
      <w:pPr>
        <w:pStyle w:val="af0"/>
        <w:spacing w:after="0"/>
        <w:ind w:left="0" w:firstLine="720"/>
        <w:rPr>
          <w:sz w:val="24"/>
        </w:rPr>
      </w:pPr>
      <w:r>
        <w:rPr>
          <w:sz w:val="24"/>
        </w:rPr>
        <w:t>– расчет кадастровой стоимости земельных участков.</w:t>
      </w:r>
    </w:p>
    <w:p w:rsidR="00E85D42" w:rsidRDefault="00E85D42">
      <w:pPr>
        <w:pStyle w:val="af0"/>
        <w:spacing w:after="0"/>
        <w:ind w:left="0" w:firstLine="720"/>
        <w:rPr>
          <w:b/>
          <w:sz w:val="24"/>
        </w:rPr>
      </w:pPr>
    </w:p>
    <w:p w:rsidR="00E85D42" w:rsidRDefault="008113B9">
      <w:pPr>
        <w:pStyle w:val="af0"/>
        <w:spacing w:after="0"/>
        <w:ind w:left="0" w:firstLine="720"/>
        <w:rPr>
          <w:i/>
          <w:sz w:val="24"/>
        </w:rPr>
      </w:pPr>
      <w:r>
        <w:rPr>
          <w:i/>
          <w:sz w:val="24"/>
        </w:rPr>
        <w:t>Определение состава факторов стоимости земельных участков для каждого вида разрешенного использования земельных участков.</w:t>
      </w:r>
    </w:p>
    <w:p w:rsidR="00E85D42" w:rsidRDefault="008113B9">
      <w:pPr>
        <w:pStyle w:val="af0"/>
        <w:spacing w:after="0"/>
        <w:ind w:left="0" w:firstLine="708"/>
        <w:rPr>
          <w:sz w:val="24"/>
        </w:rPr>
      </w:pPr>
      <w:r>
        <w:rPr>
          <w:sz w:val="24"/>
        </w:rPr>
        <w:t>На основе Примерного перечня ценообразующих факторов земельных участков (При</w:t>
      </w:r>
      <w:r>
        <w:rPr>
          <w:sz w:val="24"/>
        </w:rPr>
        <w:t xml:space="preserve">ложение 3 к Методическим указаниям) были определены факторы, которые в основном влияют на рыночную стоимость объектов оценки и фактор, оказывающий наибольшее влияние. Кроме того, введены дополнительные факторы, не предусмотренные Методическими указаниями. </w:t>
      </w:r>
      <w:r>
        <w:rPr>
          <w:sz w:val="24"/>
        </w:rPr>
        <w:t>Описание, а также обоснование использования, либо отказа от использования ценообразующих факторов описаны в п.п. 3.1.7 настоящего Отчета.</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Сбор сведений о значениях факторов стоимости земельных участков по каждому виду разрешенного использования.</w:t>
      </w:r>
    </w:p>
    <w:p w:rsidR="00E85D42" w:rsidRDefault="008113B9">
      <w:pPr>
        <w:ind w:firstLine="720"/>
        <w:jc w:val="both"/>
        <w:rPr>
          <w:sz w:val="24"/>
          <w:szCs w:val="24"/>
        </w:rPr>
      </w:pPr>
      <w:r>
        <w:rPr>
          <w:sz w:val="24"/>
          <w:szCs w:val="24"/>
        </w:rPr>
        <w:t xml:space="preserve">Источниками информации о значениях факторов стоимости являются администрации муниципальных образований. </w:t>
      </w:r>
    </w:p>
    <w:p w:rsidR="00E85D42" w:rsidRDefault="008113B9">
      <w:pPr>
        <w:ind w:firstLine="720"/>
        <w:jc w:val="both"/>
        <w:rPr>
          <w:sz w:val="24"/>
          <w:szCs w:val="24"/>
        </w:rPr>
      </w:pPr>
      <w:r>
        <w:rPr>
          <w:sz w:val="24"/>
          <w:szCs w:val="24"/>
        </w:rPr>
        <w:t>Ответы на запросы о значении факторов стоимости получены в виде картографического и семантического материала, выполненного на бумажной основе. В соотве</w:t>
      </w:r>
      <w:r>
        <w:rPr>
          <w:sz w:val="24"/>
          <w:szCs w:val="24"/>
        </w:rPr>
        <w:t>тствии с данными, отраженными на картографическом материале источником информации, в целях определения значений факторов стоимости земельных участков, Исполнителем работ в формате MapInfo сформированы цифровые тематические карты, содержащие информацию об о</w:t>
      </w:r>
      <w:r>
        <w:rPr>
          <w:sz w:val="24"/>
          <w:szCs w:val="24"/>
        </w:rPr>
        <w:t>бъектах, характеризующих территорию в разрезе факторов стоимости.</w:t>
      </w:r>
    </w:p>
    <w:p w:rsidR="00E85D42" w:rsidRDefault="008113B9">
      <w:pPr>
        <w:pStyle w:val="af0"/>
        <w:spacing w:after="0"/>
        <w:ind w:left="0"/>
        <w:rPr>
          <w:sz w:val="24"/>
        </w:rPr>
      </w:pPr>
      <w:r>
        <w:rPr>
          <w:sz w:val="24"/>
        </w:rPr>
        <w:t>Информация о факторах «Численность населения в населенных пунктах», «Численность населения в муниципальном районе, городском округе», «Среднемесячная заработная плата» собрана самостоятельно</w:t>
      </w:r>
      <w:r>
        <w:rPr>
          <w:sz w:val="24"/>
        </w:rPr>
        <w:t>, на основании сведений органа Федеральной службы государственной статистики по Республике Башкортостан.</w:t>
      </w:r>
    </w:p>
    <w:p w:rsidR="00E85D42" w:rsidRDefault="00E85D42">
      <w:pPr>
        <w:pStyle w:val="af0"/>
        <w:spacing w:after="0"/>
        <w:ind w:left="0"/>
        <w:rPr>
          <w:sz w:val="24"/>
        </w:rPr>
      </w:pPr>
    </w:p>
    <w:p w:rsidR="00E85D42" w:rsidRDefault="008113B9">
      <w:pPr>
        <w:ind w:firstLine="720"/>
        <w:jc w:val="both"/>
        <w:rPr>
          <w:i/>
          <w:sz w:val="24"/>
          <w:szCs w:val="24"/>
        </w:rPr>
      </w:pPr>
      <w:r>
        <w:rPr>
          <w:i/>
          <w:sz w:val="24"/>
          <w:szCs w:val="24"/>
        </w:rPr>
        <w:t>Создание слоев цифровых тематических карт населенных пунктов.</w:t>
      </w:r>
    </w:p>
    <w:p w:rsidR="00E85D42" w:rsidRDefault="008113B9">
      <w:pPr>
        <w:ind w:firstLine="720"/>
        <w:jc w:val="both"/>
        <w:rPr>
          <w:sz w:val="24"/>
          <w:szCs w:val="24"/>
        </w:rPr>
      </w:pPr>
      <w:r>
        <w:rPr>
          <w:sz w:val="24"/>
          <w:szCs w:val="24"/>
        </w:rPr>
        <w:t xml:space="preserve">Цифровые тематические карты населенных пунктов формируются в целях определения значений </w:t>
      </w:r>
      <w:r>
        <w:rPr>
          <w:sz w:val="24"/>
          <w:szCs w:val="24"/>
        </w:rPr>
        <w:t>факторов стоимости земельных участков и отображения результатов государственной кадастровой оценки земель населенных пунктов.</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Группировка земельных участков в составе земель населенных пунктов.</w:t>
      </w:r>
    </w:p>
    <w:p w:rsidR="00E85D42" w:rsidRDefault="008113B9">
      <w:pPr>
        <w:pStyle w:val="af0"/>
        <w:spacing w:after="0"/>
        <w:ind w:left="0" w:firstLine="720"/>
        <w:rPr>
          <w:sz w:val="24"/>
        </w:rPr>
      </w:pPr>
      <w:r>
        <w:rPr>
          <w:sz w:val="24"/>
        </w:rPr>
        <w:t>В целях расчета кадастровой стоимости земельных участковобъек</w:t>
      </w:r>
      <w:r>
        <w:rPr>
          <w:sz w:val="24"/>
        </w:rPr>
        <w:t>ты оценки выделены в расчетные группы.</w:t>
      </w:r>
    </w:p>
    <w:p w:rsidR="00E85D42" w:rsidRDefault="008113B9">
      <w:pPr>
        <w:pStyle w:val="af0"/>
        <w:spacing w:after="0"/>
        <w:ind w:left="0" w:firstLine="720"/>
        <w:rPr>
          <w:sz w:val="24"/>
        </w:rPr>
      </w:pPr>
      <w:r>
        <w:rPr>
          <w:sz w:val="24"/>
        </w:rPr>
        <w:t xml:space="preserve">Группировка земельных участков в городских населенных пунктах проведена по фактору – «Графическая привязка». Использование данного фактора позволило провести группировку таким образом, чтобы в одной группе находились </w:t>
      </w:r>
      <w:r>
        <w:rPr>
          <w:sz w:val="24"/>
        </w:rPr>
        <w:t>объекты оценки, которые возможно рассчитать на основании известных значений ценообразующих факторов. Объекты, привязка которых к цифровой тематической карте невозможнаили объекты расположены за границей населенного пункта, и, следовательно, невозможен расч</w:t>
      </w:r>
      <w:r>
        <w:rPr>
          <w:sz w:val="24"/>
        </w:rPr>
        <w:t>ет значений ценообразующих факторов, выделены в отдельную группу (Минимальный УПКС или Средний УПКС. Для данных объектов расчет проводится методом УПКС, исходя из рассчитанных средних или минимальных значений УПКС для квартала или муниципального образовани</w:t>
      </w:r>
      <w:r>
        <w:rPr>
          <w:sz w:val="24"/>
        </w:rPr>
        <w:t>я.</w:t>
      </w:r>
    </w:p>
    <w:p w:rsidR="00E85D42" w:rsidRDefault="008113B9">
      <w:pPr>
        <w:pStyle w:val="af0"/>
        <w:spacing w:after="0"/>
        <w:ind w:left="0" w:firstLine="720"/>
        <w:rPr>
          <w:sz w:val="24"/>
        </w:rPr>
      </w:pPr>
      <w:r>
        <w:rPr>
          <w:sz w:val="24"/>
        </w:rPr>
        <w:t>После выделения объектов с рассчитанными значениями ценообразующих факторов группировка земельных участков в городских населенных пунктах проведена по фактору – «Численность в населенных пунктах». Использование данного фактора позволило провести группир</w:t>
      </w:r>
      <w:r>
        <w:rPr>
          <w:sz w:val="24"/>
        </w:rPr>
        <w:t>овку таким образом, чтобы в одной группе находились объекты оценки, которые сопоставимы по основным ценнообразующим факторам.</w:t>
      </w:r>
    </w:p>
    <w:p w:rsidR="00E85D42" w:rsidRDefault="008113B9">
      <w:pPr>
        <w:pStyle w:val="af0"/>
        <w:spacing w:after="0"/>
        <w:ind w:left="0" w:firstLine="720"/>
        <w:rPr>
          <w:sz w:val="24"/>
        </w:rPr>
      </w:pPr>
      <w:r>
        <w:rPr>
          <w:sz w:val="24"/>
        </w:rPr>
        <w:t>Группировка земельных участков в сельских населенных пунктах проведена по фактору – «Статус НП». Использование данного фактора поз</w:t>
      </w:r>
      <w:r>
        <w:rPr>
          <w:sz w:val="24"/>
        </w:rPr>
        <w:t>волило провести группировку таким образом, чтобы в одной группе находились объекты оценки, которые сопоставимы по основным ценнообразующим факторам.</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Сбор достаточной и достоверной рыночной информации о земельных участках для каждой сформированной группы.</w:t>
      </w:r>
    </w:p>
    <w:p w:rsidR="00E85D42" w:rsidRDefault="008113B9">
      <w:pPr>
        <w:ind w:firstLine="720"/>
        <w:jc w:val="both"/>
        <w:rPr>
          <w:sz w:val="24"/>
          <w:szCs w:val="24"/>
        </w:rPr>
      </w:pPr>
      <w:r>
        <w:rPr>
          <w:sz w:val="24"/>
          <w:szCs w:val="24"/>
        </w:rPr>
        <w:t>Сбор рыночной информации включает в себя следующие этапы:</w:t>
      </w:r>
    </w:p>
    <w:p w:rsidR="00E85D42" w:rsidRDefault="008113B9">
      <w:pPr>
        <w:ind w:firstLine="720"/>
        <w:jc w:val="both"/>
        <w:rPr>
          <w:sz w:val="24"/>
          <w:szCs w:val="24"/>
        </w:rPr>
      </w:pPr>
      <w:r>
        <w:rPr>
          <w:sz w:val="24"/>
          <w:szCs w:val="24"/>
        </w:rPr>
        <w:t>– определение и выбор источников рыночной информации и проверка их достоверности;</w:t>
      </w:r>
    </w:p>
    <w:p w:rsidR="00E85D42" w:rsidRDefault="008113B9">
      <w:pPr>
        <w:ind w:firstLine="720"/>
        <w:jc w:val="both"/>
        <w:rPr>
          <w:sz w:val="24"/>
          <w:szCs w:val="24"/>
        </w:rPr>
      </w:pPr>
      <w:r>
        <w:rPr>
          <w:sz w:val="24"/>
          <w:szCs w:val="24"/>
        </w:rPr>
        <w:t>– статистический анализ рыночных данных.</w:t>
      </w:r>
    </w:p>
    <w:p w:rsidR="00E85D42" w:rsidRDefault="008113B9">
      <w:pPr>
        <w:ind w:firstLine="720"/>
        <w:jc w:val="both"/>
        <w:rPr>
          <w:sz w:val="24"/>
          <w:szCs w:val="24"/>
        </w:rPr>
      </w:pPr>
      <w:r>
        <w:rPr>
          <w:sz w:val="24"/>
          <w:szCs w:val="24"/>
        </w:rPr>
        <w:t>При сборе, анализе рыночной информации о земельных участках и использовании</w:t>
      </w:r>
      <w:r>
        <w:rPr>
          <w:sz w:val="24"/>
          <w:szCs w:val="24"/>
        </w:rPr>
        <w:t xml:space="preserve"> ее в процессе моделирования выявляются выбросы.</w:t>
      </w:r>
    </w:p>
    <w:p w:rsidR="00E85D42" w:rsidRDefault="008113B9">
      <w:pPr>
        <w:ind w:firstLine="720"/>
        <w:jc w:val="both"/>
        <w:rPr>
          <w:sz w:val="24"/>
          <w:szCs w:val="24"/>
        </w:rPr>
      </w:pPr>
      <w:r>
        <w:rPr>
          <w:sz w:val="24"/>
          <w:szCs w:val="24"/>
        </w:rPr>
        <w:t>Появление выбросов обусловлено следующим:</w:t>
      </w:r>
    </w:p>
    <w:p w:rsidR="00E85D42" w:rsidRDefault="008113B9">
      <w:pPr>
        <w:ind w:firstLine="720"/>
        <w:jc w:val="both"/>
        <w:rPr>
          <w:sz w:val="24"/>
          <w:szCs w:val="24"/>
        </w:rPr>
      </w:pPr>
      <w:r>
        <w:rPr>
          <w:sz w:val="24"/>
          <w:szCs w:val="24"/>
        </w:rPr>
        <w:t>- недостоверные сведения об объектах-аналогах в источниках.</w:t>
      </w:r>
    </w:p>
    <w:p w:rsidR="00E85D42" w:rsidRDefault="008113B9">
      <w:pPr>
        <w:ind w:firstLine="720"/>
        <w:jc w:val="both"/>
        <w:rPr>
          <w:sz w:val="24"/>
          <w:szCs w:val="24"/>
        </w:rPr>
      </w:pPr>
      <w:r>
        <w:rPr>
          <w:sz w:val="24"/>
          <w:szCs w:val="24"/>
        </w:rPr>
        <w:t>- при выделении доли земельного участка их единого объекта недвижимости не учитываются индивидуальные осо</w:t>
      </w:r>
      <w:r>
        <w:rPr>
          <w:sz w:val="24"/>
          <w:szCs w:val="24"/>
        </w:rPr>
        <w:t xml:space="preserve">бенности каждого из объектов. </w:t>
      </w:r>
    </w:p>
    <w:p w:rsidR="00E85D42" w:rsidRDefault="008113B9">
      <w:pPr>
        <w:ind w:firstLine="720"/>
        <w:jc w:val="both"/>
        <w:rPr>
          <w:sz w:val="24"/>
          <w:szCs w:val="24"/>
        </w:rPr>
      </w:pPr>
      <w:r>
        <w:rPr>
          <w:sz w:val="24"/>
          <w:szCs w:val="24"/>
        </w:rPr>
        <w:t>Эти факторы приводят к снижению точности рыночной информации и расширению диапазона значений стоимости объектов-аналогов (присутствуют дешевые и дорогие).</w:t>
      </w:r>
    </w:p>
    <w:p w:rsidR="00E85D42" w:rsidRDefault="008113B9">
      <w:pPr>
        <w:ind w:firstLine="720"/>
        <w:jc w:val="both"/>
        <w:rPr>
          <w:sz w:val="24"/>
          <w:szCs w:val="24"/>
        </w:rPr>
      </w:pPr>
      <w:r>
        <w:rPr>
          <w:sz w:val="24"/>
          <w:szCs w:val="24"/>
        </w:rPr>
        <w:t>При построении моделей выбросы определяются в несколько этапов. При ан</w:t>
      </w:r>
      <w:r>
        <w:rPr>
          <w:sz w:val="24"/>
          <w:szCs w:val="24"/>
        </w:rPr>
        <w:t>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это равномерное распределение объектов-аналогов в ценовом диапазоне. При наличии противоречивой инфо</w:t>
      </w:r>
      <w:r>
        <w:rPr>
          <w:sz w:val="24"/>
          <w:szCs w:val="24"/>
        </w:rPr>
        <w:t>рмации объекты-аналоги определяются как выбросы. Во время построения моделей также могут выявляться объекты-аналоги с недостоверной исходной информацией, которые определяются как выбросы.</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Построение статистических моделей расчета кадастровой стоимости для</w:t>
      </w:r>
      <w:r>
        <w:rPr>
          <w:i/>
          <w:sz w:val="24"/>
          <w:szCs w:val="24"/>
        </w:rPr>
        <w:t xml:space="preserve"> каждой группы земельных участков.</w:t>
      </w:r>
    </w:p>
    <w:p w:rsidR="00E85D42" w:rsidRDefault="008113B9">
      <w:pPr>
        <w:ind w:firstLine="720"/>
        <w:jc w:val="both"/>
        <w:rPr>
          <w:sz w:val="24"/>
          <w:szCs w:val="24"/>
        </w:rPr>
      </w:pPr>
      <w:r>
        <w:rPr>
          <w:sz w:val="24"/>
          <w:szCs w:val="24"/>
        </w:rPr>
        <w:t>Построение статистических моделей расчета кадастровой стоимости земельных участков осуществляется в следующей последовательности:</w:t>
      </w:r>
    </w:p>
    <w:p w:rsidR="00E85D42" w:rsidRDefault="008113B9">
      <w:pPr>
        <w:ind w:firstLine="720"/>
        <w:jc w:val="both"/>
        <w:rPr>
          <w:sz w:val="24"/>
          <w:szCs w:val="24"/>
        </w:rPr>
      </w:pPr>
      <w:r>
        <w:rPr>
          <w:sz w:val="24"/>
          <w:szCs w:val="24"/>
        </w:rPr>
        <w:t>– выбор факторов стоимости для построения моделей;</w:t>
      </w:r>
    </w:p>
    <w:p w:rsidR="00E85D42" w:rsidRDefault="008113B9">
      <w:pPr>
        <w:ind w:firstLine="720"/>
        <w:jc w:val="both"/>
        <w:rPr>
          <w:sz w:val="24"/>
          <w:szCs w:val="24"/>
        </w:rPr>
      </w:pPr>
      <w:r>
        <w:rPr>
          <w:sz w:val="24"/>
          <w:szCs w:val="24"/>
        </w:rPr>
        <w:t>– построение моделей расчета кадастровой</w:t>
      </w:r>
      <w:r>
        <w:rPr>
          <w:sz w:val="24"/>
          <w:szCs w:val="24"/>
        </w:rPr>
        <w:t xml:space="preserve"> стоимости земельных участков каждой сформированной группы;</w:t>
      </w:r>
    </w:p>
    <w:p w:rsidR="00E85D42" w:rsidRDefault="008113B9">
      <w:pPr>
        <w:ind w:firstLine="720"/>
        <w:jc w:val="both"/>
        <w:rPr>
          <w:sz w:val="24"/>
          <w:szCs w:val="24"/>
        </w:rPr>
      </w:pPr>
      <w:r>
        <w:rPr>
          <w:sz w:val="24"/>
          <w:szCs w:val="24"/>
        </w:rPr>
        <w:t>– анализ качества статистических моделей расчета кадастровой стоимости земельных участков в составе земель населенных пунктов.</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Выбор факторов стоимости для построения моделей.</w:t>
      </w:r>
    </w:p>
    <w:p w:rsidR="00E85D42" w:rsidRDefault="008113B9">
      <w:pPr>
        <w:ind w:firstLine="709"/>
        <w:jc w:val="both"/>
        <w:rPr>
          <w:sz w:val="24"/>
          <w:szCs w:val="24"/>
        </w:rPr>
      </w:pPr>
      <w:r>
        <w:rPr>
          <w:sz w:val="24"/>
          <w:szCs w:val="24"/>
        </w:rPr>
        <w:t>На основании анализ</w:t>
      </w:r>
      <w:r>
        <w:rPr>
          <w:sz w:val="24"/>
          <w:szCs w:val="24"/>
        </w:rPr>
        <w:t>а рынка земельных участков, приведенного в разделе 2.4 настоящего Отчеты из состава факторов стоимости отбирался набор факторов, в наибольшей степени оказывающих влияние на стоимость земельных участков.</w:t>
      </w:r>
    </w:p>
    <w:p w:rsidR="00E85D42" w:rsidRDefault="008113B9">
      <w:pPr>
        <w:ind w:firstLine="709"/>
        <w:jc w:val="both"/>
        <w:rPr>
          <w:sz w:val="24"/>
          <w:szCs w:val="24"/>
        </w:rPr>
      </w:pPr>
      <w:r>
        <w:rPr>
          <w:sz w:val="24"/>
          <w:szCs w:val="24"/>
        </w:rPr>
        <w:t>Выбор факторов осуществлялся с использованием следующ</w:t>
      </w:r>
      <w:r>
        <w:rPr>
          <w:sz w:val="24"/>
          <w:szCs w:val="24"/>
        </w:rPr>
        <w:t>их методов (критериев):</w:t>
      </w:r>
    </w:p>
    <w:p w:rsidR="00E85D42" w:rsidRDefault="008113B9">
      <w:pPr>
        <w:tabs>
          <w:tab w:val="right" w:pos="900"/>
        </w:tabs>
        <w:ind w:firstLine="709"/>
        <w:jc w:val="both"/>
      </w:pPr>
      <w:r>
        <w:rPr>
          <w:sz w:val="24"/>
          <w:szCs w:val="24"/>
        </w:rPr>
        <w:t>1.</w:t>
      </w:r>
      <w:r>
        <w:rPr>
          <w:sz w:val="24"/>
          <w:szCs w:val="24"/>
        </w:rPr>
        <w:tab/>
      </w:r>
      <w:r>
        <w:rPr>
          <w:i/>
          <w:sz w:val="24"/>
          <w:szCs w:val="24"/>
        </w:rPr>
        <w:t>Критерий репрезентативности</w:t>
      </w:r>
      <w:r>
        <w:rPr>
          <w:b/>
          <w:sz w:val="24"/>
          <w:szCs w:val="24"/>
        </w:rPr>
        <w:t>.</w:t>
      </w:r>
      <w:r>
        <w:rPr>
          <w:sz w:val="24"/>
          <w:szCs w:val="24"/>
        </w:rPr>
        <w:t xml:space="preserve"> Проверка репрезентативности факторов стоимости осу</w:t>
      </w:r>
      <w:r>
        <w:rPr>
          <w:sz w:val="24"/>
          <w:szCs w:val="24"/>
        </w:rPr>
        <w:softHyphen/>
        <w:t>ществлялась с применением СПО. Фактор кластеризации признается репрезентативным, если со</w:t>
      </w:r>
      <w:r>
        <w:rPr>
          <w:sz w:val="24"/>
          <w:szCs w:val="24"/>
        </w:rPr>
        <w:softHyphen/>
        <w:t>блюдается выполнение следующих условий:</w:t>
      </w:r>
    </w:p>
    <w:p w:rsidR="00E85D42" w:rsidRDefault="008113B9">
      <w:pPr>
        <w:numPr>
          <w:ilvl w:val="0"/>
          <w:numId w:val="32"/>
        </w:numPr>
        <w:tabs>
          <w:tab w:val="left" w:pos="900"/>
          <w:tab w:val="left" w:pos="1012"/>
        </w:tabs>
        <w:ind w:left="0" w:firstLine="709"/>
        <w:jc w:val="both"/>
        <w:rPr>
          <w:sz w:val="24"/>
          <w:szCs w:val="24"/>
        </w:rPr>
      </w:pPr>
      <w:r>
        <w:rPr>
          <w:sz w:val="24"/>
          <w:szCs w:val="24"/>
        </w:rPr>
        <w:t>для количественных ф</w:t>
      </w:r>
      <w:r>
        <w:rPr>
          <w:sz w:val="24"/>
          <w:szCs w:val="24"/>
        </w:rPr>
        <w:t>акторов: диапазон значений фактора в выборке рыночных объек</w:t>
      </w:r>
      <w:r>
        <w:rPr>
          <w:sz w:val="24"/>
          <w:szCs w:val="24"/>
        </w:rPr>
        <w:softHyphen/>
        <w:t>тов должен совпадать с диапазоном значений фактора исходной выборки объектов оценки. При этом структура наличия значений фактора на данном интервале не должна сильно отличаться у объектов оценки и</w:t>
      </w:r>
      <w:r>
        <w:rPr>
          <w:sz w:val="24"/>
          <w:szCs w:val="24"/>
        </w:rPr>
        <w:t xml:space="preserve"> рыноч</w:t>
      </w:r>
      <w:r>
        <w:rPr>
          <w:sz w:val="24"/>
          <w:szCs w:val="24"/>
        </w:rPr>
        <w:softHyphen/>
        <w:t>ной выборки;</w:t>
      </w:r>
    </w:p>
    <w:p w:rsidR="00E85D42" w:rsidRDefault="008113B9">
      <w:pPr>
        <w:numPr>
          <w:ilvl w:val="0"/>
          <w:numId w:val="32"/>
        </w:numPr>
        <w:tabs>
          <w:tab w:val="left" w:pos="900"/>
          <w:tab w:val="left" w:pos="1012"/>
        </w:tabs>
        <w:ind w:left="0" w:firstLine="709"/>
        <w:jc w:val="both"/>
        <w:rPr>
          <w:sz w:val="24"/>
          <w:szCs w:val="24"/>
        </w:rPr>
      </w:pPr>
      <w:r>
        <w:rPr>
          <w:sz w:val="24"/>
          <w:szCs w:val="24"/>
        </w:rPr>
        <w:t>для качественных факторов: каждое значение качественного фактора, присутствующее в исходной выборке объектов оценки, должно присутствовать хотя бы один раз в выборке рыноч</w:t>
      </w:r>
      <w:r>
        <w:rPr>
          <w:sz w:val="24"/>
          <w:szCs w:val="24"/>
        </w:rPr>
        <w:softHyphen/>
        <w:t>ных объектов, при этом для улучшения качества в выборке рыночных</w:t>
      </w:r>
      <w:r>
        <w:rPr>
          <w:sz w:val="24"/>
          <w:szCs w:val="24"/>
        </w:rPr>
        <w:t xml:space="preserve"> объектов желательно при</w:t>
      </w:r>
      <w:r>
        <w:rPr>
          <w:sz w:val="24"/>
          <w:szCs w:val="24"/>
        </w:rPr>
        <w:softHyphen/>
        <w:t>сутствие каждого значения качественного фактора не менее шести раз.</w:t>
      </w:r>
    </w:p>
    <w:p w:rsidR="00E85D42" w:rsidRDefault="008113B9">
      <w:pPr>
        <w:ind w:firstLine="709"/>
        <w:jc w:val="both"/>
      </w:pPr>
      <w:r>
        <w:rPr>
          <w:sz w:val="24"/>
          <w:szCs w:val="24"/>
        </w:rPr>
        <w:t xml:space="preserve">2. </w:t>
      </w:r>
      <w:r>
        <w:rPr>
          <w:i/>
          <w:sz w:val="24"/>
          <w:szCs w:val="24"/>
        </w:rPr>
        <w:t>Корреляционный анализ</w:t>
      </w:r>
      <w:r>
        <w:rPr>
          <w:sz w:val="24"/>
          <w:szCs w:val="24"/>
        </w:rPr>
        <w:t xml:space="preserve"> предполагает выбор в качестве факторов для построения моде</w:t>
      </w:r>
      <w:r>
        <w:rPr>
          <w:sz w:val="24"/>
          <w:szCs w:val="24"/>
        </w:rPr>
        <w:softHyphen/>
        <w:t>лей тех факторов стоимости, которые в основном формируют стоимость земельных уч</w:t>
      </w:r>
      <w:r>
        <w:rPr>
          <w:sz w:val="24"/>
          <w:szCs w:val="24"/>
        </w:rPr>
        <w:t>астков. С этой целью производился:</w:t>
      </w:r>
    </w:p>
    <w:p w:rsidR="00E85D42" w:rsidRDefault="008113B9">
      <w:pPr>
        <w:numPr>
          <w:ilvl w:val="0"/>
          <w:numId w:val="33"/>
        </w:numPr>
        <w:tabs>
          <w:tab w:val="left" w:pos="1080"/>
        </w:tabs>
        <w:ind w:left="0" w:firstLine="709"/>
        <w:jc w:val="both"/>
        <w:rPr>
          <w:sz w:val="24"/>
          <w:szCs w:val="24"/>
        </w:rPr>
      </w:pPr>
      <w:r>
        <w:rPr>
          <w:sz w:val="24"/>
          <w:szCs w:val="24"/>
        </w:rPr>
        <w:t>расчет коэффициентов корреляции факторов стоимости с рыночными стоимостями по формуле (1):</w:t>
      </w:r>
    </w:p>
    <w:p w:rsidR="00E85D42" w:rsidRDefault="008113B9">
      <w:pPr>
        <w:tabs>
          <w:tab w:val="right" w:pos="9360"/>
        </w:tabs>
        <w:ind w:firstLine="709"/>
        <w:jc w:val="both"/>
      </w:pPr>
      <w:r>
        <w:rPr>
          <w:sz w:val="24"/>
          <w:szCs w:val="24"/>
        </w:rPr>
        <w:object w:dxaOrig="5475" w:dyaOrig="1345">
          <v:shape id="Object 4" o:spid="_x0000_i1027" type="#_x0000_t75" style="width:273.75pt;height:67.5pt;visibility:visible;mso-wrap-style:square" o:ole="">
            <v:imagedata r:id="rId344" o:title=""/>
          </v:shape>
          <o:OLEObject Type="Embed" ProgID="Equation.3" ShapeID="Object 4" DrawAspect="Content" ObjectID="_1625914966" r:id="rId349"/>
        </w:object>
      </w:r>
      <w:r>
        <w:rPr>
          <w:sz w:val="24"/>
          <w:szCs w:val="24"/>
        </w:rPr>
        <w:t>,</w:t>
      </w:r>
      <w:r>
        <w:rPr>
          <w:sz w:val="24"/>
          <w:szCs w:val="24"/>
        </w:rPr>
        <w:tab/>
      </w:r>
    </w:p>
    <w:p w:rsidR="00E85D42" w:rsidRDefault="008113B9">
      <w:pPr>
        <w:ind w:firstLine="709"/>
        <w:jc w:val="both"/>
      </w:pPr>
      <w:r>
        <w:rPr>
          <w:sz w:val="24"/>
          <w:szCs w:val="24"/>
        </w:rPr>
        <w:t>где: r</w:t>
      </w:r>
      <w:r>
        <w:rPr>
          <w:sz w:val="24"/>
          <w:szCs w:val="24"/>
          <w:vertAlign w:val="subscript"/>
        </w:rPr>
        <w:t>kY</w:t>
      </w:r>
      <w:r>
        <w:rPr>
          <w:sz w:val="24"/>
          <w:szCs w:val="24"/>
        </w:rPr>
        <w:t xml:space="preserve"> – коэффициент корреляции k-го фактора X(k) с рыночной стоимостью Y земельно</w:t>
      </w:r>
      <w:r>
        <w:rPr>
          <w:sz w:val="24"/>
          <w:szCs w:val="24"/>
        </w:rPr>
        <w:softHyphen/>
        <w:t>го участка, N – количество объектов в обучающей выборке;</w:t>
      </w:r>
    </w:p>
    <w:p w:rsidR="00E85D42" w:rsidRDefault="008113B9">
      <w:pPr>
        <w:numPr>
          <w:ilvl w:val="0"/>
          <w:numId w:val="33"/>
        </w:numPr>
        <w:tabs>
          <w:tab w:val="left" w:pos="1080"/>
        </w:tabs>
        <w:ind w:left="0" w:firstLine="709"/>
        <w:jc w:val="both"/>
      </w:pPr>
      <w:r>
        <w:rPr>
          <w:sz w:val="24"/>
          <w:szCs w:val="24"/>
        </w:rPr>
        <w:t>расчет коэффициентов значимости R</w:t>
      </w:r>
      <w:r>
        <w:rPr>
          <w:sz w:val="24"/>
          <w:szCs w:val="24"/>
          <w:vertAlign w:val="subscript"/>
        </w:rPr>
        <w:t>k</w:t>
      </w:r>
      <w:r>
        <w:rPr>
          <w:sz w:val="24"/>
          <w:szCs w:val="24"/>
        </w:rPr>
        <w:t xml:space="preserve"> фактора X(k) по формуле:</w:t>
      </w:r>
    </w:p>
    <w:p w:rsidR="00E85D42" w:rsidRDefault="008113B9">
      <w:pPr>
        <w:tabs>
          <w:tab w:val="right" w:pos="9360"/>
        </w:tabs>
        <w:ind w:firstLine="709"/>
        <w:jc w:val="both"/>
      </w:pPr>
      <w:r>
        <w:rPr>
          <w:i/>
          <w:sz w:val="24"/>
          <w:szCs w:val="24"/>
        </w:rPr>
        <w:object w:dxaOrig="992" w:dyaOrig="693">
          <v:shape id="Object 5" o:spid="_x0000_i1028" type="#_x0000_t75" style="width:49.5pt;height:34.5pt;visibility:visible;mso-wrap-style:square" o:ole="">
            <v:imagedata r:id="rId346" o:title=""/>
          </v:shape>
          <o:OLEObject Type="Embed" ProgID="Equation.3" ShapeID="Object 5" DrawAspect="Content" ObjectID="_1625914967" r:id="rId350"/>
        </w:object>
      </w:r>
      <w:r>
        <w:rPr>
          <w:i/>
          <w:sz w:val="24"/>
          <w:szCs w:val="24"/>
        </w:rPr>
        <w:t xml:space="preserve">, </w:t>
      </w:r>
      <w:r>
        <w:rPr>
          <w:sz w:val="24"/>
          <w:szCs w:val="24"/>
        </w:rPr>
        <w:t>k=1,…,m,</w:t>
      </w:r>
      <w:r>
        <w:rPr>
          <w:b/>
          <w:sz w:val="24"/>
          <w:szCs w:val="24"/>
        </w:rPr>
        <w:tab/>
      </w:r>
    </w:p>
    <w:p w:rsidR="00E85D42" w:rsidRDefault="008113B9">
      <w:pPr>
        <w:ind w:firstLine="709"/>
        <w:jc w:val="both"/>
      </w:pPr>
      <w:r>
        <w:rPr>
          <w:sz w:val="24"/>
          <w:szCs w:val="24"/>
        </w:rPr>
        <w:t>где: r</w:t>
      </w:r>
      <w:r>
        <w:rPr>
          <w:sz w:val="24"/>
          <w:szCs w:val="24"/>
          <w:vertAlign w:val="subscript"/>
        </w:rPr>
        <w:t>max</w:t>
      </w:r>
      <w:r>
        <w:rPr>
          <w:sz w:val="24"/>
          <w:szCs w:val="24"/>
        </w:rPr>
        <w:t>– максимальный из найденных коэффициентов корреляции, а m – количество фак</w:t>
      </w:r>
      <w:r>
        <w:rPr>
          <w:sz w:val="24"/>
          <w:szCs w:val="24"/>
        </w:rPr>
        <w:softHyphen/>
        <w:t>торов стоимости.</w:t>
      </w:r>
    </w:p>
    <w:p w:rsidR="00E85D42" w:rsidRDefault="008113B9">
      <w:pPr>
        <w:numPr>
          <w:ilvl w:val="0"/>
          <w:numId w:val="33"/>
        </w:numPr>
        <w:tabs>
          <w:tab w:val="left" w:pos="1080"/>
        </w:tabs>
        <w:ind w:left="0" w:firstLine="709"/>
        <w:jc w:val="both"/>
        <w:rPr>
          <w:sz w:val="24"/>
          <w:szCs w:val="24"/>
        </w:rPr>
      </w:pPr>
      <w:r>
        <w:rPr>
          <w:sz w:val="24"/>
          <w:szCs w:val="24"/>
        </w:rPr>
        <w:t>выб</w:t>
      </w:r>
      <w:r>
        <w:rPr>
          <w:sz w:val="24"/>
          <w:szCs w:val="24"/>
        </w:rPr>
        <w:t>ор из всех коэффициентов значимости тех коэффициентов, значения которых не менее 0.2 – 0.3. Соответствующие этим коэффициентам значимости факторы стоимости являются теми факторами, которые в основном формируют стоимость земельных участков группы.</w:t>
      </w:r>
    </w:p>
    <w:p w:rsidR="00E85D42" w:rsidRDefault="008113B9">
      <w:pPr>
        <w:ind w:firstLine="709"/>
        <w:jc w:val="both"/>
      </w:pPr>
      <w:r>
        <w:rPr>
          <w:sz w:val="24"/>
          <w:szCs w:val="24"/>
        </w:rPr>
        <w:t xml:space="preserve">3. </w:t>
      </w:r>
      <w:r>
        <w:rPr>
          <w:i/>
          <w:sz w:val="24"/>
          <w:szCs w:val="24"/>
        </w:rPr>
        <w:t>Провер</w:t>
      </w:r>
      <w:r>
        <w:rPr>
          <w:i/>
          <w:sz w:val="24"/>
          <w:szCs w:val="24"/>
        </w:rPr>
        <w:t>ка факторов кластеризации на наличие мультиколлинеарности</w:t>
      </w:r>
      <w:r>
        <w:rPr>
          <w:sz w:val="24"/>
          <w:szCs w:val="24"/>
        </w:rPr>
        <w:t>. Проверка на на</w:t>
      </w:r>
      <w:r>
        <w:rPr>
          <w:sz w:val="24"/>
          <w:szCs w:val="24"/>
        </w:rPr>
        <w:softHyphen/>
        <w:t>личие корреляционной зависимости между факторами стоимости и результирующим показателем (в данном случае рыночной стоимостью 1 кв. м площади земельного участка) не достаточна для при</w:t>
      </w:r>
      <w:r>
        <w:rPr>
          <w:sz w:val="24"/>
          <w:szCs w:val="24"/>
        </w:rPr>
        <w:t>нятия окончательного решения о включении данного фактора в модель, поскольку одним из условий построения модели множественной регрессии является независимость действия факто</w:t>
      </w:r>
      <w:r>
        <w:rPr>
          <w:sz w:val="24"/>
          <w:szCs w:val="24"/>
        </w:rPr>
        <w:softHyphen/>
        <w:t>ров. Ситуация, когда это условие нарушается, называется мультиколлинеарностью и оз</w:t>
      </w:r>
      <w:r>
        <w:rPr>
          <w:sz w:val="24"/>
          <w:szCs w:val="24"/>
        </w:rPr>
        <w:t>начает су</w:t>
      </w:r>
      <w:r>
        <w:rPr>
          <w:sz w:val="24"/>
          <w:szCs w:val="24"/>
        </w:rPr>
        <w:softHyphen/>
        <w:t>ществование тесной зависимости (сильной корреляции) между двумя и более факторами класте</w:t>
      </w:r>
      <w:r>
        <w:rPr>
          <w:sz w:val="24"/>
          <w:szCs w:val="24"/>
        </w:rPr>
        <w:softHyphen/>
        <w:t xml:space="preserve">ризации. </w:t>
      </w:r>
    </w:p>
    <w:p w:rsidR="00E85D42" w:rsidRDefault="008113B9">
      <w:pPr>
        <w:tabs>
          <w:tab w:val="left" w:pos="1080"/>
        </w:tabs>
        <w:ind w:firstLine="709"/>
        <w:jc w:val="both"/>
        <w:rPr>
          <w:sz w:val="24"/>
          <w:szCs w:val="24"/>
        </w:rPr>
      </w:pPr>
      <w:r>
        <w:rPr>
          <w:sz w:val="24"/>
          <w:szCs w:val="24"/>
        </w:rPr>
        <w:t>Для исследования факторов стоимости, отобранных для построения моделей по результа</w:t>
      </w:r>
      <w:r>
        <w:rPr>
          <w:sz w:val="24"/>
          <w:szCs w:val="24"/>
        </w:rPr>
        <w:softHyphen/>
        <w:t>там проверки репрезентативности и корреляционного анализа фактор</w:t>
      </w:r>
      <w:r>
        <w:rPr>
          <w:sz w:val="24"/>
          <w:szCs w:val="24"/>
        </w:rPr>
        <w:t>ов стоимости с результи</w:t>
      </w:r>
      <w:r>
        <w:rPr>
          <w:sz w:val="24"/>
          <w:szCs w:val="24"/>
        </w:rPr>
        <w:softHyphen/>
        <w:t>рующей переменной, на наличие мультиколлинеарности был осуществлен расчет и анализ пар</w:t>
      </w:r>
      <w:r>
        <w:rPr>
          <w:sz w:val="24"/>
          <w:szCs w:val="24"/>
        </w:rPr>
        <w:softHyphen/>
        <w:t>ных коэффициентов корреляции между факторами стоимости с применением СПО. Исследова</w:t>
      </w:r>
      <w:r>
        <w:rPr>
          <w:sz w:val="24"/>
          <w:szCs w:val="24"/>
        </w:rPr>
        <w:softHyphen/>
        <w:t>нию на наличие мультиколлинеарности подвергались пары факторо</w:t>
      </w:r>
      <w:r>
        <w:rPr>
          <w:sz w:val="24"/>
          <w:szCs w:val="24"/>
        </w:rPr>
        <w:t>в стоимости, для которых зна</w:t>
      </w:r>
      <w:r>
        <w:rPr>
          <w:sz w:val="24"/>
          <w:szCs w:val="24"/>
        </w:rPr>
        <w:softHyphen/>
        <w:t>чение парного коэффициента корреляции превышало 0,7.</w:t>
      </w:r>
    </w:p>
    <w:p w:rsidR="00E85D42" w:rsidRDefault="008113B9">
      <w:pPr>
        <w:ind w:firstLine="720"/>
        <w:jc w:val="both"/>
        <w:rPr>
          <w:sz w:val="24"/>
          <w:szCs w:val="24"/>
        </w:rPr>
      </w:pPr>
      <w:r>
        <w:rPr>
          <w:sz w:val="24"/>
          <w:szCs w:val="24"/>
        </w:rPr>
        <w:t xml:space="preserve">Анализ рынка недвижимости на территории населенных пунктов Республики Башкортостан показал, что на величину цены предложения или цены спроса на объекты недвижимого имущества </w:t>
      </w:r>
      <w:r>
        <w:rPr>
          <w:sz w:val="24"/>
          <w:szCs w:val="24"/>
        </w:rPr>
        <w:t>(земельные участки) как правило, влияют несколько основных факторов стоимости. Поэтому в рамках расчета кадастровой стоимости земельных участков, в процессе определения состава факторов стоимости, участвующих в расчете, были выбраны наиболее значимые ценоо</w:t>
      </w:r>
      <w:r>
        <w:rPr>
          <w:sz w:val="24"/>
          <w:szCs w:val="24"/>
        </w:rPr>
        <w:t>бразующие факторы, для которых была выявлена зависимость рыночной стоимости от значения фактора.</w:t>
      </w:r>
    </w:p>
    <w:p w:rsidR="00E85D42" w:rsidRDefault="008113B9">
      <w:pPr>
        <w:rPr>
          <w:i/>
          <w:sz w:val="24"/>
          <w:szCs w:val="24"/>
        </w:rPr>
      </w:pPr>
      <w:r>
        <w:rPr>
          <w:i/>
          <w:sz w:val="24"/>
          <w:szCs w:val="24"/>
        </w:rPr>
        <w:t>Построение моделей расчета кадастровой стоимости земельных участков каждой сформированной группы</w:t>
      </w:r>
    </w:p>
    <w:p w:rsidR="00E85D42" w:rsidRDefault="008113B9">
      <w:pPr>
        <w:pStyle w:val="Standarduser"/>
        <w:ind w:firstLine="720"/>
        <w:jc w:val="both"/>
      </w:pPr>
      <w:r>
        <w:t>Цель построения моделей расчета кадастровой стоимости земельны</w:t>
      </w:r>
      <w:r>
        <w:t>х участков каждой группы (далее – модель расчета) состоит в получении статистически значимой и качественной модели расчета для каждой группы земельных участков.</w:t>
      </w:r>
    </w:p>
    <w:p w:rsidR="00E85D42" w:rsidRDefault="008113B9">
      <w:pPr>
        <w:pStyle w:val="Standarduser"/>
        <w:ind w:firstLine="720"/>
        <w:jc w:val="both"/>
      </w:pPr>
      <w:r>
        <w:t>Под моделью расчета понимается математическая формула, отображающая связь между зависимой перем</w:t>
      </w:r>
      <w:r>
        <w:t>енной и значениями соответствующих факторов стоимости. В качестве зависимой переменной может выступать удельный показатель кадастровой стоимости земельных участков или кадастровая стоимость земельных участков.</w:t>
      </w:r>
    </w:p>
    <w:p w:rsidR="00E85D42" w:rsidRDefault="008113B9">
      <w:pPr>
        <w:pStyle w:val="Standarduser"/>
        <w:ind w:firstLine="709"/>
        <w:jc w:val="both"/>
      </w:pPr>
      <w:r>
        <w:t>Для определения кадастровой стоимости или УПКС</w:t>
      </w:r>
      <w:r>
        <w:t xml:space="preserve"> земельных участков каждой сформированной группы могут использоваться следующие регрессионные модели:</w:t>
      </w:r>
    </w:p>
    <w:p w:rsidR="00E85D42" w:rsidRDefault="008113B9">
      <w:pPr>
        <w:pStyle w:val="Standarduser"/>
        <w:numPr>
          <w:ilvl w:val="0"/>
          <w:numId w:val="7"/>
        </w:numPr>
        <w:jc w:val="both"/>
      </w:pPr>
      <w:r>
        <w:t>Линейная (аддитивная):</w:t>
      </w:r>
    </w:p>
    <w:p w:rsidR="00E85D42" w:rsidRDefault="008113B9">
      <w:pPr>
        <w:pStyle w:val="Standarduser"/>
        <w:ind w:firstLine="708"/>
        <w:jc w:val="both"/>
      </w:pPr>
      <w:r>
        <w:t>Y=a_0+a_1 X_1+"..."+a_nX_n</w:t>
      </w:r>
      <w:r>
        <w:tab/>
      </w:r>
    </w:p>
    <w:p w:rsidR="00E85D42" w:rsidRDefault="008113B9">
      <w:pPr>
        <w:pStyle w:val="Standarduser"/>
        <w:numPr>
          <w:ilvl w:val="0"/>
          <w:numId w:val="7"/>
        </w:numPr>
        <w:jc w:val="both"/>
      </w:pPr>
      <w:r>
        <w:t>Мультипликативная степенная (без выделения двоичных факторов):</w:t>
      </w:r>
    </w:p>
    <w:p w:rsidR="00E85D42" w:rsidRDefault="008113B9">
      <w:pPr>
        <w:pStyle w:val="Standarduser"/>
        <w:ind w:firstLine="708"/>
        <w:jc w:val="both"/>
      </w:pPr>
      <w:r>
        <w:t>Y=a_0 X_1^(a_1 ) "..." X_n^(a_n )</w:t>
      </w:r>
    </w:p>
    <w:p w:rsidR="00E85D42" w:rsidRDefault="008113B9">
      <w:pPr>
        <w:pStyle w:val="Standarduser"/>
        <w:numPr>
          <w:ilvl w:val="0"/>
          <w:numId w:val="7"/>
        </w:numPr>
        <w:jc w:val="both"/>
      </w:pPr>
      <w:r>
        <w:t>Экспоненциальная модель:</w:t>
      </w:r>
    </w:p>
    <w:p w:rsidR="00E85D42" w:rsidRDefault="008113B9">
      <w:pPr>
        <w:pStyle w:val="Standarduser"/>
        <w:ind w:firstLine="708"/>
        <w:jc w:val="both"/>
      </w:pPr>
      <w:r>
        <w:t>Y=a_0 e^(a_1 X_1+"..." +a_nX_n )</w:t>
      </w:r>
    </w:p>
    <w:p w:rsidR="00E85D42" w:rsidRDefault="008113B9">
      <w:pPr>
        <w:pStyle w:val="Standarduser"/>
        <w:ind w:firstLine="708"/>
        <w:jc w:val="both"/>
      </w:pPr>
      <w:r>
        <w:t>где Y – зависимая переменная (рыночная стоимость 1 кв. м земельного участка), X1,…,Xn – значения факторов кластеризации, а0, а1…аn – коэффициенты модели.</w:t>
      </w:r>
    </w:p>
    <w:p w:rsidR="00E85D42" w:rsidRDefault="00E85D42">
      <w:pPr>
        <w:pStyle w:val="Standarduser"/>
        <w:ind w:firstLine="709"/>
        <w:jc w:val="both"/>
      </w:pPr>
    </w:p>
    <w:p w:rsidR="00E85D42" w:rsidRDefault="008113B9">
      <w:pPr>
        <w:pStyle w:val="Standarduser"/>
        <w:ind w:firstLine="709"/>
        <w:jc w:val="both"/>
      </w:pPr>
      <w:r>
        <w:t xml:space="preserve">Программное обеспечение АИСГКО «Расчет </w:t>
      </w:r>
      <w:r>
        <w:t>кадастровой стоимости объектов недвижимости» осуществляет разделение участков с известной рыночной стоимостью на две группы: обучающую и контрольную. По данным обучающей выборки строится модель, расчет стоимости по которой должен быть сопоставлен со стоимо</w:t>
      </w:r>
      <w:r>
        <w:t>стью участков из контрольной выборки. Предусмотрено сохранение распределения объектов-аналогов на обучающую и контрольную выборки для каждой группы в отдельности. Диаграмма «Обучающая и контрольная выборки» позволяет просмотреть распределение объектов-анал</w:t>
      </w:r>
      <w:r>
        <w:t>огов по выборкам.</w:t>
      </w:r>
    </w:p>
    <w:p w:rsidR="00E85D42" w:rsidRDefault="008113B9">
      <w:pPr>
        <w:pStyle w:val="Standarduser"/>
        <w:ind w:firstLine="709"/>
        <w:jc w:val="both"/>
      </w:pPr>
      <w:r>
        <w:t>Результаты расчета параметров качества статистически значимых моделей для каждой сформированной группы для обучающей и контрольной выборок отображены в Таблице «Анализ качества модели 4 сегмент» Приложения2.</w:t>
      </w:r>
    </w:p>
    <w:p w:rsidR="00E85D42" w:rsidRDefault="008113B9">
      <w:pPr>
        <w:pStyle w:val="Standarduser"/>
        <w:ind w:firstLine="709"/>
        <w:jc w:val="both"/>
      </w:pPr>
      <w:r>
        <w:t>Результат отбора моделей для к</w:t>
      </w:r>
      <w:r>
        <w:t>аждой сформированной группы отображен в Таблице «Анализ качества модели 4 сегмент» Приложения2.</w:t>
      </w:r>
    </w:p>
    <w:p w:rsidR="00E85D42" w:rsidRDefault="008113B9">
      <w:pPr>
        <w:pStyle w:val="Standarduser"/>
        <w:ind w:firstLine="709"/>
        <w:jc w:val="both"/>
      </w:pPr>
      <w:r>
        <w:t>Результат выбора наиболее качественной модели по критерию «Средняя относительная погрешность оценки» отображен в Таблице «Анализ качества модели 13 сегмент» При</w:t>
      </w:r>
      <w:r>
        <w:t>ложения2.</w:t>
      </w:r>
    </w:p>
    <w:p w:rsidR="00E85D42" w:rsidRDefault="008113B9">
      <w:pPr>
        <w:pStyle w:val="Standarduser"/>
        <w:ind w:firstLine="709"/>
        <w:jc w:val="both"/>
      </w:pPr>
      <w:r>
        <w:t>Величина средней относительной погрешности оценки на рассматриваемой выборке i–го объекта определяется как:</w:t>
      </w:r>
    </w:p>
    <w:p w:rsidR="00E85D42" w:rsidRDefault="008113B9">
      <w:pPr>
        <w:pStyle w:val="Standarduser"/>
        <w:ind w:firstLine="709"/>
        <w:jc w:val="both"/>
      </w:pPr>
      <w:r>
        <w:rPr>
          <w:noProof/>
          <w:lang w:eastAsia="ru-RU"/>
        </w:rPr>
        <w:drawing>
          <wp:inline distT="0" distB="0" distL="0" distR="0">
            <wp:extent cx="1249198" cy="614522"/>
            <wp:effectExtent l="0" t="0" r="8102" b="0"/>
            <wp:docPr id="145"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lum/>
                      <a:alphaModFix/>
                    </a:blip>
                    <a:srcRect/>
                    <a:stretch>
                      <a:fillRect/>
                    </a:stretch>
                  </pic:blipFill>
                  <pic:spPr>
                    <a:xfrm>
                      <a:off x="0" y="0"/>
                      <a:ext cx="1249198" cy="614522"/>
                    </a:xfrm>
                    <a:prstGeom prst="rect">
                      <a:avLst/>
                    </a:prstGeom>
                    <a:noFill/>
                    <a:ln>
                      <a:noFill/>
                      <a:prstDash/>
                    </a:ln>
                  </pic:spPr>
                </pic:pic>
              </a:graphicData>
            </a:graphic>
          </wp:inline>
        </w:drawing>
      </w:r>
    </w:p>
    <w:p w:rsidR="00E85D42" w:rsidRDefault="008113B9">
      <w:pPr>
        <w:pStyle w:val="Standarduser"/>
        <w:ind w:firstLine="709"/>
        <w:jc w:val="both"/>
      </w:pPr>
      <w:r>
        <w:t>, где N – число наблюдений (объектов) в рассматриваемой выборке.</w:t>
      </w:r>
    </w:p>
    <w:p w:rsidR="00E85D42" w:rsidRDefault="008113B9">
      <w:pPr>
        <w:pStyle w:val="Standarduser"/>
        <w:ind w:firstLine="709"/>
        <w:jc w:val="both"/>
      </w:pPr>
      <w:r>
        <w:t>Ограничения, накладываемые на данный параметр для обучающей выборки, со</w:t>
      </w:r>
      <w:r>
        <w:t>ставляют 40%, для контрольной 50%, при увеличении не более, чем в 1,5 раза.</w:t>
      </w:r>
    </w:p>
    <w:p w:rsidR="00E85D42" w:rsidRDefault="008113B9">
      <w:pPr>
        <w:pStyle w:val="Standarduser"/>
        <w:spacing w:after="120"/>
        <w:ind w:firstLine="709"/>
        <w:jc w:val="both"/>
      </w:pPr>
      <w:r>
        <w:rPr>
          <w:rFonts w:eastAsia="Calibri, sans-serif"/>
          <w:lang w:eastAsia="en-US"/>
        </w:rPr>
        <w:t>Из всех полученных моделей для каждой группы выбирается статистически значимая модель, обладающая наилучшим качеством. Построенная модель расчёта должна отвечать требованиям предме</w:t>
      </w:r>
      <w:r>
        <w:rPr>
          <w:rFonts w:eastAsia="Calibri, sans-serif"/>
          <w:lang w:eastAsia="en-US"/>
        </w:rPr>
        <w:t xml:space="preserve">тной интерпретации (объяснимости), а также удовлетворять допустимым уровням показателей качества статистических моделей данного вида. Данная операция производится в автоматическом режиме средствами </w:t>
      </w:r>
      <w:r>
        <w:t>специального программного обеспечения АИС ГКО «Расчет када</w:t>
      </w:r>
      <w:r>
        <w:t>стровой стоимости объектов недвижимости»</w:t>
      </w:r>
      <w:r>
        <w:rPr>
          <w:rFonts w:eastAsia="Calibri, sans-serif"/>
          <w:lang w:eastAsia="en-US"/>
        </w:rPr>
        <w:t>. Ниже представлены статистические модели для каждой группы видов разрешенного использования, обладающие наилучшим качеством:</w:t>
      </w:r>
    </w:p>
    <w:p w:rsidR="00E85D42" w:rsidRDefault="008113B9">
      <w:pPr>
        <w:pStyle w:val="Standarduser"/>
        <w:tabs>
          <w:tab w:val="left" w:pos="1134"/>
        </w:tabs>
        <w:spacing w:before="120" w:line="288" w:lineRule="auto"/>
        <w:jc w:val="both"/>
        <w:rPr>
          <w:b/>
        </w:rPr>
      </w:pPr>
      <w:r>
        <w:rPr>
          <w:b/>
        </w:rPr>
        <w:t xml:space="preserve">Земельные участки, предназначенные для размещения зданий предпринимательской деятельности </w:t>
      </w:r>
      <w:r>
        <w:rPr>
          <w:b/>
        </w:rPr>
        <w:t>в крупных городах РБ:</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pStyle w:val="Standarduser"/>
        <w:jc w:val="both"/>
      </w:pPr>
      <w:r>
        <w:t>УПКС = 658.7762406030747 * e^(0.8632127733932755*Расстояние до крупных торговых объектов+0.7917949039979242*Расстояние до административного центра)</w:t>
      </w:r>
      <w:r>
        <w:tab/>
      </w:r>
    </w:p>
    <w:p w:rsidR="00E85D42" w:rsidRDefault="008113B9">
      <w:pPr>
        <w:pStyle w:val="Standarduser"/>
        <w:jc w:val="right"/>
      </w:pPr>
      <w:r>
        <w:t>Таблица 3.6.4.1</w:t>
      </w:r>
    </w:p>
    <w:tbl>
      <w:tblPr>
        <w:tblW w:w="5000" w:type="pct"/>
        <w:jc w:val="center"/>
        <w:tblLayout w:type="fixed"/>
        <w:tblCellMar>
          <w:left w:w="10" w:type="dxa"/>
          <w:right w:w="10" w:type="dxa"/>
        </w:tblCellMar>
        <w:tblLook w:val="04A0" w:firstRow="1" w:lastRow="0" w:firstColumn="1" w:lastColumn="0" w:noHBand="0" w:noVBand="1"/>
      </w:tblPr>
      <w:tblGrid>
        <w:gridCol w:w="2795"/>
        <w:gridCol w:w="589"/>
        <w:gridCol w:w="4863"/>
        <w:gridCol w:w="1467"/>
      </w:tblGrid>
      <w:tr w:rsidR="00E85D42">
        <w:tblPrEx>
          <w:tblCellMar>
            <w:top w:w="0" w:type="dxa"/>
            <w:bottom w:w="0" w:type="dxa"/>
          </w:tblCellMar>
        </w:tblPrEx>
        <w:trPr>
          <w:trHeight w:val="645"/>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rPr>
            </w:pPr>
            <w:r>
              <w:rPr>
                <w:color w:val="000000"/>
              </w:rPr>
              <w:t>Ценообразующий фактор</w:t>
            </w:r>
          </w:p>
        </w:tc>
        <w:tc>
          <w:tcPr>
            <w:tcW w:w="58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t xml:space="preserve">№ </w:t>
            </w:r>
          </w:p>
        </w:tc>
        <w:tc>
          <w:tcPr>
            <w:tcW w:w="486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 658.7762406030747 * e^(0.8632127733932755*</w:t>
            </w:r>
            <w:r>
              <w:rPr>
                <w:color w:val="000000"/>
                <w:sz w:val="18"/>
                <w:szCs w:val="18"/>
                <w:lang w:val="en-US"/>
              </w:rPr>
              <w:t>F</w:t>
            </w:r>
            <w:r>
              <w:rPr>
                <w:color w:val="000000"/>
                <w:sz w:val="18"/>
                <w:szCs w:val="18"/>
              </w:rPr>
              <w:t>1+0.7917949039979242*</w:t>
            </w:r>
            <w:r>
              <w:rPr>
                <w:color w:val="000000"/>
                <w:sz w:val="18"/>
                <w:szCs w:val="18"/>
                <w:lang w:val="en-US"/>
              </w:rPr>
              <w:t>F</w:t>
            </w:r>
            <w:r>
              <w:rPr>
                <w:color w:val="000000"/>
                <w:sz w:val="18"/>
                <w:szCs w:val="18"/>
              </w:rPr>
              <w:t>2)</w:t>
            </w:r>
            <w:r>
              <w:rPr>
                <w:color w:val="000000"/>
                <w:sz w:val="18"/>
                <w:szCs w:val="18"/>
              </w:rPr>
              <w:tab/>
            </w:r>
          </w:p>
        </w:tc>
        <w:tc>
          <w:tcPr>
            <w:tcW w:w="146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495"/>
          <w:jc w:val="center"/>
        </w:trPr>
        <w:tc>
          <w:tcPr>
            <w:tcW w:w="27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крупных торговых объектов</w:t>
            </w:r>
          </w:p>
        </w:tc>
        <w:tc>
          <w:tcPr>
            <w:tcW w:w="58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863"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1898.322777777778/(1442.256+X0)</w:t>
            </w:r>
          </w:p>
        </w:tc>
        <w:tc>
          <w:tcPr>
            <w:tcW w:w="1467"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0,854235024</w:t>
            </w:r>
          </w:p>
        </w:tc>
      </w:tr>
      <w:tr w:rsidR="00E85D42">
        <w:tblPrEx>
          <w:tblCellMar>
            <w:top w:w="0" w:type="dxa"/>
            <w:bottom w:w="0" w:type="dxa"/>
          </w:tblCellMar>
        </w:tblPrEx>
        <w:trPr>
          <w:trHeight w:val="315"/>
          <w:jc w:val="center"/>
        </w:trPr>
        <w:tc>
          <w:tcPr>
            <w:tcW w:w="27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административного центра</w:t>
            </w:r>
          </w:p>
        </w:tc>
        <w:tc>
          <w:tcPr>
            <w:tcW w:w="58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863"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2328.7101666666667/(1175.9797999999998+X1)</w:t>
            </w:r>
          </w:p>
        </w:tc>
        <w:tc>
          <w:tcPr>
            <w:tcW w:w="1467"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0,812554306</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3.6.4.2</w:t>
      </w:r>
    </w:p>
    <w:tbl>
      <w:tblPr>
        <w:tblW w:w="5000" w:type="pct"/>
        <w:tblCellMar>
          <w:left w:w="10" w:type="dxa"/>
          <w:right w:w="10" w:type="dxa"/>
        </w:tblCellMar>
        <w:tblLook w:val="04A0" w:firstRow="1" w:lastRow="0" w:firstColumn="1" w:lastColumn="0" w:noHBand="0" w:noVBand="1"/>
      </w:tblPr>
      <w:tblGrid>
        <w:gridCol w:w="812"/>
        <w:gridCol w:w="4358"/>
        <w:gridCol w:w="2176"/>
        <w:gridCol w:w="2368"/>
      </w:tblGrid>
      <w:tr w:rsidR="00E85D42">
        <w:tblPrEx>
          <w:tblCellMar>
            <w:top w:w="0" w:type="dxa"/>
            <w:bottom w:w="0" w:type="dxa"/>
          </w:tblCellMar>
        </w:tblPrEx>
        <w:trPr>
          <w:trHeight w:val="30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 п/п</w:t>
            </w:r>
          </w:p>
        </w:tc>
        <w:tc>
          <w:tcPr>
            <w:tcW w:w="435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Название статистически значимой модели</w:t>
            </w:r>
          </w:p>
        </w:tc>
        <w:tc>
          <w:tcPr>
            <w:tcW w:w="4544"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Экспоненциальная модель</w:t>
            </w:r>
          </w:p>
        </w:tc>
      </w:tr>
      <w:tr w:rsidR="00E85D42">
        <w:tblPrEx>
          <w:tblCellMar>
            <w:top w:w="0" w:type="dxa"/>
            <w:bottom w:w="0" w:type="dxa"/>
          </w:tblCellMar>
        </w:tblPrEx>
        <w:trPr>
          <w:trHeight w:val="300"/>
        </w:trPr>
        <w:tc>
          <w:tcPr>
            <w:tcW w:w="81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435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Обучающая выборка</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Контрольная выборка</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1</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Средняя относительная</w:t>
            </w:r>
            <w:r>
              <w:rPr>
                <w:color w:val="000000"/>
              </w:rPr>
              <w:t xml:space="preserve"> погрешность оценки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0,167491</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0,193133</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2</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Коэффициент детерминации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0,898517</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0,907927</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3</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Отношение суммы невязок к средней стоимости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0,135087</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-0,01638</w:t>
            </w:r>
          </w:p>
        </w:tc>
      </w:tr>
    </w:tbl>
    <w:p w:rsidR="00E85D42" w:rsidRDefault="008113B9">
      <w:pPr>
        <w:pStyle w:val="Standarduser"/>
        <w:tabs>
          <w:tab w:val="left" w:pos="1134"/>
        </w:tabs>
        <w:spacing w:before="120" w:line="288" w:lineRule="auto"/>
        <w:jc w:val="both"/>
        <w:rPr>
          <w:b/>
        </w:rPr>
      </w:pPr>
      <w:r>
        <w:rPr>
          <w:b/>
        </w:rPr>
        <w:t xml:space="preserve">Земельные участки, предназначенные для размещения зданий предпринимательской деятельности в малых городах </w:t>
      </w:r>
      <w:r>
        <w:rPr>
          <w:b/>
        </w:rPr>
        <w:t>РБ:</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jc w:val="both"/>
      </w:pPr>
      <w:r>
        <w:t>УПКС = 271.32388434014405 * e^(0.6563312211140333*Расстояние до общественно-делового центра+0.8473228394984811*Численность населения в населенном пункте)</w:t>
      </w:r>
    </w:p>
    <w:p w:rsidR="00E85D42" w:rsidRDefault="008113B9">
      <w:pPr>
        <w:ind w:left="7788"/>
        <w:jc w:val="both"/>
        <w:rPr>
          <w:sz w:val="24"/>
          <w:szCs w:val="24"/>
        </w:rPr>
      </w:pPr>
      <w:r>
        <w:rPr>
          <w:sz w:val="24"/>
          <w:szCs w:val="24"/>
        </w:rPr>
        <w:t>Таблица 3.6.4.3</w:t>
      </w:r>
    </w:p>
    <w:tbl>
      <w:tblPr>
        <w:tblW w:w="5000" w:type="pct"/>
        <w:tblLayout w:type="fixed"/>
        <w:tblCellMar>
          <w:left w:w="10" w:type="dxa"/>
          <w:right w:w="10" w:type="dxa"/>
        </w:tblCellMar>
        <w:tblLook w:val="04A0" w:firstRow="1" w:lastRow="0" w:firstColumn="1" w:lastColumn="0" w:noHBand="0" w:noVBand="1"/>
      </w:tblPr>
      <w:tblGrid>
        <w:gridCol w:w="2845"/>
        <w:gridCol w:w="575"/>
        <w:gridCol w:w="4746"/>
        <w:gridCol w:w="1548"/>
      </w:tblGrid>
      <w:tr w:rsidR="00E85D42">
        <w:tblPrEx>
          <w:tblCellMar>
            <w:top w:w="0" w:type="dxa"/>
            <w:bottom w:w="0" w:type="dxa"/>
          </w:tblCellMar>
        </w:tblPrEx>
        <w:trPr>
          <w:trHeight w:val="945"/>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w:t>
            </w:r>
            <w:r>
              <w:rPr>
                <w:sz w:val="22"/>
                <w:szCs w:val="22"/>
              </w:rPr>
              <w:t>асчета</w:t>
            </w:r>
          </w:p>
          <w:p w:rsidR="00E85D42" w:rsidRDefault="008113B9">
            <w:pPr>
              <w:jc w:val="center"/>
            </w:pPr>
            <w:r>
              <w:rPr>
                <w:color w:val="000000"/>
                <w:sz w:val="18"/>
                <w:szCs w:val="18"/>
              </w:rPr>
              <w:t>Y</w:t>
            </w:r>
            <w:r>
              <w:rPr>
                <w:sz w:val="18"/>
                <w:szCs w:val="18"/>
              </w:rPr>
              <w:t>= 271.32388434014405 * e^(0.6563312211140333*</w:t>
            </w:r>
            <w:r>
              <w:rPr>
                <w:sz w:val="18"/>
                <w:szCs w:val="18"/>
                <w:lang w:val="en-US"/>
              </w:rPr>
              <w:t>F</w:t>
            </w:r>
            <w:r>
              <w:rPr>
                <w:sz w:val="18"/>
                <w:szCs w:val="18"/>
              </w:rPr>
              <w:t>1+0.8473228394984811*</w:t>
            </w:r>
            <w:r>
              <w:rPr>
                <w:sz w:val="18"/>
                <w:szCs w:val="18"/>
                <w:lang w:val="en-US"/>
              </w:rPr>
              <w:t>F</w:t>
            </w:r>
            <w:r>
              <w:rPr>
                <w:sz w:val="18"/>
                <w:szCs w:val="18"/>
              </w:rPr>
              <w:t>2)</w:t>
            </w:r>
            <w:r>
              <w:rPr>
                <w:sz w:val="18"/>
                <w:szCs w:val="18"/>
              </w:rPr>
              <w:tab/>
            </w:r>
            <w:r>
              <w:rPr>
                <w:sz w:val="18"/>
                <w:szCs w:val="18"/>
              </w:rPr>
              <w:tab/>
            </w:r>
            <w:r>
              <w:rPr>
                <w:sz w:val="18"/>
                <w:szCs w:val="18"/>
              </w:rPr>
              <w:tab/>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33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общественно-делового центра</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752.87/(368.338+X0)</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0,765373241</w:t>
            </w:r>
          </w:p>
        </w:tc>
      </w:tr>
      <w:tr w:rsidR="00E85D42">
        <w:tblPrEx>
          <w:tblCellMar>
            <w:top w:w="0" w:type="dxa"/>
            <w:bottom w:w="0" w:type="dxa"/>
          </w:tblCellMar>
        </w:tblPrEx>
        <w:trPr>
          <w:trHeight w:val="315"/>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Численность населения в населенном пункте</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(16008.800000000001+X1)/52535.40909090909</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0,608801289</w:t>
            </w:r>
          </w:p>
        </w:tc>
      </w:tr>
    </w:tbl>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3.6.4.4</w:t>
      </w:r>
    </w:p>
    <w:tbl>
      <w:tblPr>
        <w:tblW w:w="5000" w:type="pct"/>
        <w:tblCellMar>
          <w:left w:w="10" w:type="dxa"/>
          <w:right w:w="10" w:type="dxa"/>
        </w:tblCellMar>
        <w:tblLook w:val="04A0" w:firstRow="1" w:lastRow="0" w:firstColumn="1" w:lastColumn="0" w:noHBand="0" w:noVBand="1"/>
      </w:tblPr>
      <w:tblGrid>
        <w:gridCol w:w="812"/>
        <w:gridCol w:w="4358"/>
        <w:gridCol w:w="2176"/>
        <w:gridCol w:w="2368"/>
      </w:tblGrid>
      <w:tr w:rsidR="00E85D42">
        <w:tblPrEx>
          <w:tblCellMar>
            <w:top w:w="0" w:type="dxa"/>
            <w:bottom w:w="0" w:type="dxa"/>
          </w:tblCellMar>
        </w:tblPrEx>
        <w:trPr>
          <w:trHeight w:val="30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 п/п</w:t>
            </w:r>
          </w:p>
        </w:tc>
        <w:tc>
          <w:tcPr>
            <w:tcW w:w="435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Название статистически значимой модели</w:t>
            </w:r>
          </w:p>
        </w:tc>
        <w:tc>
          <w:tcPr>
            <w:tcW w:w="4544"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Экспоненциальная модель</w:t>
            </w:r>
          </w:p>
        </w:tc>
      </w:tr>
      <w:tr w:rsidR="00E85D42">
        <w:tblPrEx>
          <w:tblCellMar>
            <w:top w:w="0" w:type="dxa"/>
            <w:bottom w:w="0" w:type="dxa"/>
          </w:tblCellMar>
        </w:tblPrEx>
        <w:trPr>
          <w:trHeight w:val="300"/>
        </w:trPr>
        <w:tc>
          <w:tcPr>
            <w:tcW w:w="81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435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Обучающая выборка</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Контрольная выборка</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1</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 xml:space="preserve">Средняя относительная </w:t>
            </w:r>
            <w:r>
              <w:rPr>
                <w:color w:val="000000"/>
              </w:rPr>
              <w:t>погрешность оценки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0,150866</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0,179919</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2</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Коэффициент детерминации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0,868482</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0,794984</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3</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Отношение суммы невязок к средней стоимости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0,142631</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0,667403</w:t>
            </w:r>
          </w:p>
        </w:tc>
      </w:tr>
    </w:tbl>
    <w:p w:rsidR="00E85D42" w:rsidRDefault="00E85D42">
      <w:pPr>
        <w:pStyle w:val="Standarduser"/>
        <w:jc w:val="both"/>
      </w:pPr>
    </w:p>
    <w:p w:rsidR="00E85D42" w:rsidRDefault="008113B9">
      <w:pPr>
        <w:pStyle w:val="Standarduser"/>
        <w:tabs>
          <w:tab w:val="left" w:pos="1134"/>
        </w:tabs>
        <w:spacing w:before="120" w:line="288" w:lineRule="auto"/>
        <w:jc w:val="both"/>
        <w:rPr>
          <w:b/>
        </w:rPr>
      </w:pPr>
      <w:r>
        <w:rPr>
          <w:b/>
        </w:rPr>
        <w:t>Земельные участки, предназначенные для размещения зданий предпринимательской деятельности в г. Уфа:</w:t>
      </w:r>
    </w:p>
    <w:p w:rsidR="00E85D42" w:rsidRDefault="008113B9">
      <w:pPr>
        <w:pStyle w:val="Standarduser"/>
        <w:tabs>
          <w:tab w:val="left" w:pos="1134"/>
          <w:tab w:val="left" w:pos="1701"/>
        </w:tabs>
        <w:spacing w:line="288" w:lineRule="auto"/>
        <w:ind w:firstLine="720"/>
        <w:jc w:val="both"/>
      </w:pPr>
      <w:r>
        <w:t xml:space="preserve">Для </w:t>
      </w:r>
      <w:r>
        <w:t xml:space="preserve">расчета выбрана </w:t>
      </w:r>
      <w:r>
        <w:rPr>
          <w:b/>
        </w:rPr>
        <w:t>экспоненциальная модель.</w:t>
      </w:r>
    </w:p>
    <w:p w:rsidR="00E85D42" w:rsidRDefault="008113B9">
      <w:pPr>
        <w:pStyle w:val="Standarduser"/>
        <w:jc w:val="both"/>
        <w:rPr>
          <w:sz w:val="22"/>
          <w:szCs w:val="22"/>
        </w:rPr>
      </w:pPr>
      <w:r>
        <w:rPr>
          <w:sz w:val="22"/>
          <w:szCs w:val="22"/>
        </w:rPr>
        <w:t>УПКС = 678.8050765276319 * e^(0.8382666342838538*Расстояние до историко-культурного центра+1.1970483210916036*Расстояние до крупных торговых объектов+0.06265767482720985*Расстояние до остановок общественного транспо</w:t>
      </w:r>
      <w:r>
        <w:rPr>
          <w:sz w:val="22"/>
          <w:szCs w:val="22"/>
        </w:rPr>
        <w:t>рта)</w:t>
      </w:r>
    </w:p>
    <w:p w:rsidR="00E85D42" w:rsidRDefault="008113B9">
      <w:pPr>
        <w:pStyle w:val="Standarduser"/>
        <w:jc w:val="right"/>
      </w:pPr>
      <w:r>
        <w:t>Таблица 3.6.4.5</w:t>
      </w:r>
    </w:p>
    <w:tbl>
      <w:tblPr>
        <w:tblW w:w="5000" w:type="pct"/>
        <w:tblLayout w:type="fixed"/>
        <w:tblCellMar>
          <w:left w:w="10" w:type="dxa"/>
          <w:right w:w="10" w:type="dxa"/>
        </w:tblCellMar>
        <w:tblLook w:val="04A0" w:firstRow="1" w:lastRow="0" w:firstColumn="1" w:lastColumn="0" w:noHBand="0" w:noVBand="1"/>
      </w:tblPr>
      <w:tblGrid>
        <w:gridCol w:w="2845"/>
        <w:gridCol w:w="575"/>
        <w:gridCol w:w="4746"/>
        <w:gridCol w:w="1548"/>
      </w:tblGrid>
      <w:tr w:rsidR="00E85D42">
        <w:tblPrEx>
          <w:tblCellMar>
            <w:top w:w="0" w:type="dxa"/>
            <w:bottom w:w="0" w:type="dxa"/>
          </w:tblCellMar>
        </w:tblPrEx>
        <w:trPr>
          <w:trHeight w:val="54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74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YУПКС = 678.8050765276319 * e^(0.8382666342838538*</w:t>
            </w:r>
            <w:r>
              <w:rPr>
                <w:color w:val="000000"/>
                <w:sz w:val="18"/>
                <w:szCs w:val="18"/>
                <w:lang w:val="en-US"/>
              </w:rPr>
              <w:t>F</w:t>
            </w:r>
            <w:r>
              <w:rPr>
                <w:color w:val="000000"/>
                <w:sz w:val="18"/>
                <w:szCs w:val="18"/>
              </w:rPr>
              <w:t>1+1.1970483210916036*</w:t>
            </w:r>
            <w:r>
              <w:rPr>
                <w:color w:val="000000"/>
                <w:sz w:val="18"/>
                <w:szCs w:val="18"/>
                <w:lang w:val="en-US"/>
              </w:rPr>
              <w:t>F</w:t>
            </w:r>
            <w:r>
              <w:rPr>
                <w:color w:val="000000"/>
                <w:sz w:val="18"/>
                <w:szCs w:val="18"/>
              </w:rPr>
              <w:t>2+0.06265767482720985*</w:t>
            </w:r>
            <w:r>
              <w:rPr>
                <w:color w:val="000000"/>
                <w:sz w:val="18"/>
                <w:szCs w:val="18"/>
                <w:lang w:val="en-US"/>
              </w:rPr>
              <w:t>F</w:t>
            </w:r>
            <w:r>
              <w:rPr>
                <w:color w:val="000000"/>
                <w:sz w:val="18"/>
                <w:szCs w:val="18"/>
              </w:rPr>
              <w:t>3)</w:t>
            </w:r>
            <w:r>
              <w:rPr>
                <w:color w:val="000000"/>
                <w:sz w:val="18"/>
                <w:szCs w:val="18"/>
              </w:rPr>
              <w:tab/>
            </w:r>
            <w:r>
              <w:rPr>
                <w:color w:val="000000"/>
                <w:sz w:val="18"/>
                <w:szCs w:val="18"/>
              </w:rPr>
              <w:tab/>
            </w:r>
            <w:r>
              <w:rPr>
                <w:color w:val="000000"/>
                <w:sz w:val="18"/>
                <w:szCs w:val="18"/>
              </w:rPr>
              <w:tab/>
            </w:r>
          </w:p>
        </w:tc>
        <w:tc>
          <w:tcPr>
            <w:tcW w:w="154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540"/>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историко-культурного центра</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746"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6078.854666666667/(3495.792+X0)</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0,955688647</w:t>
            </w:r>
          </w:p>
        </w:tc>
      </w:tr>
      <w:tr w:rsidR="00E85D42">
        <w:tblPrEx>
          <w:tblCellMar>
            <w:top w:w="0" w:type="dxa"/>
            <w:bottom w:w="0" w:type="dxa"/>
          </w:tblCellMar>
        </w:tblPrEx>
        <w:trPr>
          <w:trHeight w:val="525"/>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крупных торговых объектов</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746"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1448.9243333333334/(1009.8199999999999+X1)</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0,884722782</w:t>
            </w:r>
          </w:p>
        </w:tc>
      </w:tr>
      <w:tr w:rsidR="00E85D42">
        <w:tblPrEx>
          <w:tblCellMar>
            <w:top w:w="0" w:type="dxa"/>
            <w:bottom w:w="0" w:type="dxa"/>
          </w:tblCellMar>
        </w:tblPrEx>
        <w:trPr>
          <w:trHeight w:val="300"/>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Расстояние до остановок общественного транспорта</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F3</w:t>
            </w:r>
          </w:p>
        </w:tc>
        <w:tc>
          <w:tcPr>
            <w:tcW w:w="4746"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370.6156666666667/(248.30200000000002+X2)</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0,314074779</w:t>
            </w:r>
          </w:p>
        </w:tc>
      </w:tr>
    </w:tbl>
    <w:p w:rsidR="00E85D42" w:rsidRDefault="00E85D42">
      <w:pPr>
        <w:pStyle w:val="Standarduser"/>
        <w:jc w:val="both"/>
        <w:rPr>
          <w:lang w:val="en-US"/>
        </w:rPr>
      </w:pPr>
    </w:p>
    <w:p w:rsidR="00E85D42" w:rsidRDefault="008113B9">
      <w:pPr>
        <w:pStyle w:val="Standarduser"/>
        <w:jc w:val="both"/>
      </w:pPr>
      <w:r>
        <w:t xml:space="preserve">Далее в таблице приведен анализ </w:t>
      </w:r>
      <w:r>
        <w:t>качества модели:</w:t>
      </w:r>
    </w:p>
    <w:p w:rsidR="00E85D42" w:rsidRDefault="008113B9">
      <w:pPr>
        <w:pStyle w:val="Standarduser"/>
        <w:jc w:val="right"/>
      </w:pPr>
      <w:r>
        <w:t>Таблица 3.6.4.6</w:t>
      </w:r>
    </w:p>
    <w:tbl>
      <w:tblPr>
        <w:tblW w:w="5000" w:type="pct"/>
        <w:tblCellMar>
          <w:left w:w="10" w:type="dxa"/>
          <w:right w:w="10" w:type="dxa"/>
        </w:tblCellMar>
        <w:tblLook w:val="04A0" w:firstRow="1" w:lastRow="0" w:firstColumn="1" w:lastColumn="0" w:noHBand="0" w:noVBand="1"/>
      </w:tblPr>
      <w:tblGrid>
        <w:gridCol w:w="812"/>
        <w:gridCol w:w="4358"/>
        <w:gridCol w:w="2176"/>
        <w:gridCol w:w="2368"/>
      </w:tblGrid>
      <w:tr w:rsidR="00E85D42">
        <w:tblPrEx>
          <w:tblCellMar>
            <w:top w:w="0" w:type="dxa"/>
            <w:bottom w:w="0" w:type="dxa"/>
          </w:tblCellMar>
        </w:tblPrEx>
        <w:trPr>
          <w:trHeight w:val="30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 п/п</w:t>
            </w:r>
          </w:p>
        </w:tc>
        <w:tc>
          <w:tcPr>
            <w:tcW w:w="435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Название статистически значимой модели</w:t>
            </w:r>
          </w:p>
        </w:tc>
        <w:tc>
          <w:tcPr>
            <w:tcW w:w="4544"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Экспоненциальная модель</w:t>
            </w:r>
          </w:p>
        </w:tc>
      </w:tr>
      <w:tr w:rsidR="00E85D42">
        <w:tblPrEx>
          <w:tblCellMar>
            <w:top w:w="0" w:type="dxa"/>
            <w:bottom w:w="0" w:type="dxa"/>
          </w:tblCellMar>
        </w:tblPrEx>
        <w:trPr>
          <w:trHeight w:val="300"/>
        </w:trPr>
        <w:tc>
          <w:tcPr>
            <w:tcW w:w="81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435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Обучающая выборка</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Контрольная выборка</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1</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Средняя относительная погрешность оценки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0,144857</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0,279904</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2</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Коэффициент детерминации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0,933743</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0,873896</w:t>
            </w:r>
          </w:p>
        </w:tc>
      </w:tr>
      <w:tr w:rsidR="00E85D42">
        <w:tblPrEx>
          <w:tblCellMar>
            <w:top w:w="0" w:type="dxa"/>
            <w:bottom w:w="0" w:type="dxa"/>
          </w:tblCellMar>
        </w:tblPrEx>
        <w:trPr>
          <w:trHeight w:val="300"/>
        </w:trPr>
        <w:tc>
          <w:tcPr>
            <w:tcW w:w="81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3</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Отношение суммы невязок к средней стоимости</w:t>
            </w:r>
          </w:p>
        </w:tc>
        <w:tc>
          <w:tcPr>
            <w:tcW w:w="217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-0,05333</w:t>
            </w:r>
          </w:p>
        </w:tc>
        <w:tc>
          <w:tcPr>
            <w:tcW w:w="236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-0,12778</w:t>
            </w:r>
          </w:p>
        </w:tc>
      </w:tr>
    </w:tbl>
    <w:p w:rsidR="00E85D42" w:rsidRDefault="00E85D42">
      <w:pPr>
        <w:pStyle w:val="Standarduser"/>
        <w:jc w:val="both"/>
        <w:rPr>
          <w:lang w:val="en-US"/>
        </w:rPr>
      </w:pPr>
    </w:p>
    <w:p w:rsidR="00E85D42" w:rsidRDefault="008113B9">
      <w:pPr>
        <w:pStyle w:val="Standarduser"/>
        <w:tabs>
          <w:tab w:val="left" w:pos="1134"/>
        </w:tabs>
        <w:spacing w:before="120" w:line="288" w:lineRule="auto"/>
        <w:jc w:val="both"/>
        <w:rPr>
          <w:b/>
        </w:rPr>
      </w:pPr>
      <w:r>
        <w:rPr>
          <w:b/>
        </w:rPr>
        <w:t>Земельные участки, предназначенные для размещения зданий предпринимательской деятельности в сельских НП:</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pStyle w:val="Standarduser"/>
        <w:jc w:val="both"/>
      </w:pPr>
      <w:r>
        <w:t xml:space="preserve">УПКС = 265.82017547272034 * </w:t>
      </w:r>
      <w:r>
        <w:t>e^(0.9704100912774579*Расстояние от НП до столицы субъекта РФ+0.017693966191239655*Численность населения в населенном пункте)</w:t>
      </w:r>
    </w:p>
    <w:p w:rsidR="00E85D42" w:rsidRDefault="008113B9">
      <w:pPr>
        <w:pStyle w:val="Standarduser"/>
        <w:jc w:val="right"/>
      </w:pPr>
      <w:r>
        <w:t>Таблица 3.6.4.7</w:t>
      </w:r>
    </w:p>
    <w:tbl>
      <w:tblPr>
        <w:tblW w:w="5000" w:type="pct"/>
        <w:tblLayout w:type="fixed"/>
        <w:tblCellMar>
          <w:left w:w="10" w:type="dxa"/>
          <w:right w:w="10" w:type="dxa"/>
        </w:tblCellMar>
        <w:tblLook w:val="04A0" w:firstRow="1" w:lastRow="0" w:firstColumn="1" w:lastColumn="0" w:noHBand="0" w:noVBand="1"/>
      </w:tblPr>
      <w:tblGrid>
        <w:gridCol w:w="2844"/>
        <w:gridCol w:w="575"/>
        <w:gridCol w:w="4892"/>
        <w:gridCol w:w="1403"/>
      </w:tblGrid>
      <w:tr w:rsidR="00E85D42">
        <w:tblPrEx>
          <w:tblCellMar>
            <w:top w:w="0" w:type="dxa"/>
            <w:bottom w:w="0" w:type="dxa"/>
          </w:tblCellMar>
        </w:tblPrEx>
        <w:trPr>
          <w:trHeight w:val="645"/>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w:t>
            </w:r>
            <w:r>
              <w:t xml:space="preserve"> </w:t>
            </w:r>
            <w:r>
              <w:rPr>
                <w:sz w:val="18"/>
                <w:szCs w:val="18"/>
              </w:rPr>
              <w:t>= 265.82017547272034 * e^(0.9704100912774579*</w:t>
            </w:r>
            <w:r>
              <w:rPr>
                <w:sz w:val="18"/>
                <w:szCs w:val="18"/>
                <w:lang w:val="en-US"/>
              </w:rPr>
              <w:t>F</w:t>
            </w:r>
            <w:r>
              <w:rPr>
                <w:sz w:val="18"/>
                <w:szCs w:val="18"/>
              </w:rPr>
              <w:t>1+0.017693966191239655</w:t>
            </w:r>
            <w:r>
              <w:rPr>
                <w:sz w:val="18"/>
                <w:szCs w:val="18"/>
              </w:rPr>
              <w:t>*</w:t>
            </w:r>
            <w:r>
              <w:rPr>
                <w:sz w:val="18"/>
                <w:szCs w:val="18"/>
                <w:lang w:val="en-US"/>
              </w:rPr>
              <w:t>F</w:t>
            </w:r>
            <w:r>
              <w:rPr>
                <w:sz w:val="18"/>
                <w:szCs w:val="18"/>
              </w:rPr>
              <w:t>2)</w:t>
            </w:r>
            <w:r>
              <w:rPr>
                <w:sz w:val="18"/>
                <w:szCs w:val="18"/>
              </w:rPr>
              <w:tab/>
            </w:r>
            <w:r>
              <w:rPr>
                <w:sz w:val="18"/>
                <w:szCs w:val="18"/>
              </w:rPr>
              <w:tab/>
            </w:r>
            <w:r>
              <w:rPr>
                <w:sz w:val="18"/>
                <w:szCs w:val="18"/>
              </w:rPr>
              <w:tab/>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315"/>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Расстояние от НП до столицы субъекта РФ</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132.5/(45.400000000000006+X0)</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0,903134039</w:t>
            </w:r>
          </w:p>
        </w:tc>
      </w:tr>
      <w:tr w:rsidR="00E85D42">
        <w:tblPrEx>
          <w:tblCellMar>
            <w:top w:w="0" w:type="dxa"/>
            <w:bottom w:w="0" w:type="dxa"/>
          </w:tblCellMar>
        </w:tblPrEx>
        <w:trPr>
          <w:trHeight w:val="300"/>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Численность населения в населенном пункте</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(3475.2000000000003+X1)/4490.388888888889</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85D42" w:rsidRDefault="008113B9">
            <w:pPr>
              <w:jc w:val="center"/>
            </w:pPr>
            <w:r>
              <w:t>0,088085013</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3.6.4.8</w:t>
      </w:r>
    </w:p>
    <w:tbl>
      <w:tblPr>
        <w:tblW w:w="5000" w:type="pct"/>
        <w:tblCellMar>
          <w:left w:w="10" w:type="dxa"/>
          <w:right w:w="10" w:type="dxa"/>
        </w:tblCellMar>
        <w:tblLook w:val="04A0" w:firstRow="1" w:lastRow="0" w:firstColumn="1" w:lastColumn="0" w:noHBand="0" w:noVBand="1"/>
      </w:tblPr>
      <w:tblGrid>
        <w:gridCol w:w="819"/>
        <w:gridCol w:w="4358"/>
        <w:gridCol w:w="2184"/>
        <w:gridCol w:w="2353"/>
      </w:tblGrid>
      <w:tr w:rsidR="00E85D42">
        <w:tblPrEx>
          <w:tblCellMar>
            <w:top w:w="0" w:type="dxa"/>
            <w:bottom w:w="0" w:type="dxa"/>
          </w:tblCellMar>
        </w:tblPrEx>
        <w:trPr>
          <w:trHeight w:val="300"/>
        </w:trPr>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 п/п</w:t>
            </w:r>
          </w:p>
        </w:tc>
        <w:tc>
          <w:tcPr>
            <w:tcW w:w="435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rPr>
            </w:pPr>
            <w:r>
              <w:rPr>
                <w:b/>
                <w:bCs/>
              </w:rPr>
              <w:t>Название статистически значимой модели</w:t>
            </w:r>
          </w:p>
        </w:tc>
        <w:tc>
          <w:tcPr>
            <w:tcW w:w="4537"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Экспоненциальная модель</w:t>
            </w:r>
          </w:p>
        </w:tc>
      </w:tr>
      <w:tr w:rsidR="00E85D42">
        <w:tblPrEx>
          <w:tblCellMar>
            <w:top w:w="0" w:type="dxa"/>
            <w:bottom w:w="0" w:type="dxa"/>
          </w:tblCellMar>
        </w:tblPrEx>
        <w:trPr>
          <w:trHeight w:val="300"/>
        </w:trPr>
        <w:tc>
          <w:tcPr>
            <w:tcW w:w="81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435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rPr>
            </w:pPr>
          </w:p>
        </w:tc>
        <w:tc>
          <w:tcPr>
            <w:tcW w:w="21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Обучающая выборка</w:t>
            </w:r>
          </w:p>
        </w:tc>
        <w:tc>
          <w:tcPr>
            <w:tcW w:w="235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bCs/>
              </w:rPr>
            </w:pPr>
            <w:r>
              <w:rPr>
                <w:b/>
                <w:bCs/>
              </w:rPr>
              <w:t>Контрольная выборка</w:t>
            </w:r>
          </w:p>
        </w:tc>
      </w:tr>
      <w:tr w:rsidR="00E85D42">
        <w:tblPrEx>
          <w:tblCellMar>
            <w:top w:w="0" w:type="dxa"/>
            <w:bottom w:w="0" w:type="dxa"/>
          </w:tblCellMar>
        </w:tblPrEx>
        <w:trPr>
          <w:trHeight w:val="300"/>
        </w:trPr>
        <w:tc>
          <w:tcPr>
            <w:tcW w:w="81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1</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Средняя относительная погрешность оценки</w:t>
            </w:r>
          </w:p>
        </w:tc>
        <w:tc>
          <w:tcPr>
            <w:tcW w:w="21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0,095279</w:t>
            </w:r>
          </w:p>
        </w:tc>
        <w:tc>
          <w:tcPr>
            <w:tcW w:w="235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0,192577</w:t>
            </w:r>
          </w:p>
        </w:tc>
      </w:tr>
      <w:tr w:rsidR="00E85D42">
        <w:tblPrEx>
          <w:tblCellMar>
            <w:top w:w="0" w:type="dxa"/>
            <w:bottom w:w="0" w:type="dxa"/>
          </w:tblCellMar>
        </w:tblPrEx>
        <w:trPr>
          <w:trHeight w:val="300"/>
        </w:trPr>
        <w:tc>
          <w:tcPr>
            <w:tcW w:w="81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2</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Коэффициент детерминации</w:t>
            </w:r>
          </w:p>
        </w:tc>
        <w:tc>
          <w:tcPr>
            <w:tcW w:w="21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0,968003</w:t>
            </w:r>
          </w:p>
        </w:tc>
        <w:tc>
          <w:tcPr>
            <w:tcW w:w="235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0,865758</w:t>
            </w:r>
          </w:p>
        </w:tc>
      </w:tr>
      <w:tr w:rsidR="00E85D42">
        <w:tblPrEx>
          <w:tblCellMar>
            <w:top w:w="0" w:type="dxa"/>
            <w:bottom w:w="0" w:type="dxa"/>
          </w:tblCellMar>
        </w:tblPrEx>
        <w:trPr>
          <w:trHeight w:val="300"/>
        </w:trPr>
        <w:tc>
          <w:tcPr>
            <w:tcW w:w="81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3</w:t>
            </w:r>
          </w:p>
        </w:tc>
        <w:tc>
          <w:tcPr>
            <w:tcW w:w="435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 xml:space="preserve">Отношение суммы </w:t>
            </w:r>
            <w:r>
              <w:rPr>
                <w:color w:val="000000"/>
              </w:rPr>
              <w:t>невязок к средней стоимости</w:t>
            </w:r>
          </w:p>
        </w:tc>
        <w:tc>
          <w:tcPr>
            <w:tcW w:w="21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0,118541</w:t>
            </w:r>
          </w:p>
        </w:tc>
        <w:tc>
          <w:tcPr>
            <w:tcW w:w="235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right"/>
              <w:rPr>
                <w:color w:val="000000"/>
              </w:rPr>
            </w:pPr>
            <w:r>
              <w:rPr>
                <w:color w:val="000000"/>
              </w:rPr>
              <w:t>-0,34871</w:t>
            </w:r>
          </w:p>
        </w:tc>
      </w:tr>
    </w:tbl>
    <w:p w:rsidR="00E85D42" w:rsidRDefault="00E85D42">
      <w:pPr>
        <w:pStyle w:val="ab"/>
        <w:rPr>
          <w:b/>
        </w:rPr>
      </w:pP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На этапе определения факторов стоимости, участвующих в расчете кадастровой стоимости, на основании анализа рынка недвижимости, были отобраны наиболее значимые факторов стоимости, формирующие цену предложения </w:t>
      </w:r>
      <w:r>
        <w:rPr>
          <w:rFonts w:ascii="Times New Roman" w:hAnsi="Times New Roman"/>
          <w:sz w:val="24"/>
          <w:szCs w:val="24"/>
        </w:rPr>
        <w:t>и/или цену спроса за земельный участок конкретного вида разрешенного использования. С целью дифференциации удельного показателя кадастровой стоимости на территории Республики Башкортостан, при построении модели, преимущество отдавалось количественным факто</w:t>
      </w:r>
      <w:r>
        <w:rPr>
          <w:rFonts w:ascii="Times New Roman" w:hAnsi="Times New Roman"/>
          <w:sz w:val="24"/>
          <w:szCs w:val="24"/>
        </w:rPr>
        <w:t xml:space="preserve">рам стоимости, характеризующим местоположение и окружение земельного участка. Однако ввиду недостаточно динамичного развития рынка недвижимости имела место нехватка достоверной и достаточной рыночной информации об объектах-аналогах. Тем не менее, несмотря </w:t>
      </w:r>
      <w:r>
        <w:rPr>
          <w:rFonts w:ascii="Times New Roman" w:hAnsi="Times New Roman"/>
          <w:sz w:val="24"/>
          <w:szCs w:val="24"/>
        </w:rPr>
        <w:t>на то, что объекты-аналоги «покрывали» не всю территорию, занятую объектами оценки (были не репрезентативны), по имеющейся информации можно было проследить зависимость цены объекта от значения фактора стоимости. При этом данные зависимости отображали дейст</w:t>
      </w:r>
      <w:r>
        <w:rPr>
          <w:rFonts w:ascii="Times New Roman" w:hAnsi="Times New Roman"/>
          <w:sz w:val="24"/>
          <w:szCs w:val="24"/>
        </w:rPr>
        <w:t>вительную ситуацию на рынке земельных участков (а именно в части формирования стоимости земельных участков).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При анализе мультиколлинеарности факторов стоимости, несмотря на достаточное значе</w:t>
      </w:r>
      <w:r>
        <w:rPr>
          <w:rFonts w:ascii="Times New Roman" w:hAnsi="Times New Roman"/>
          <w:sz w:val="24"/>
          <w:szCs w:val="24"/>
        </w:rPr>
        <w:softHyphen/>
        <w:t>ние коэффициента парной корреляции между факторами стоимости в р</w:t>
      </w:r>
      <w:r>
        <w:rPr>
          <w:rFonts w:ascii="Times New Roman" w:hAnsi="Times New Roman"/>
          <w:sz w:val="24"/>
          <w:szCs w:val="24"/>
        </w:rPr>
        <w:t>яде случаев, оба фактора могли быть оставлены для дальнейшего моделирования, поскольку в условиях, когда значения данных факторов имеют дифференциацию между земельными участками, расположенными в пре</w:t>
      </w:r>
      <w:r>
        <w:rPr>
          <w:rFonts w:ascii="Times New Roman" w:hAnsi="Times New Roman"/>
          <w:sz w:val="24"/>
          <w:szCs w:val="24"/>
        </w:rPr>
        <w:softHyphen/>
        <w:t>делах одно и того же населенного пункта, взаимозависимос</w:t>
      </w:r>
      <w:r>
        <w:rPr>
          <w:rFonts w:ascii="Times New Roman" w:hAnsi="Times New Roman"/>
          <w:sz w:val="24"/>
          <w:szCs w:val="24"/>
        </w:rPr>
        <w:t>ть указанных факторов можно при</w:t>
      </w:r>
      <w:r>
        <w:rPr>
          <w:rFonts w:ascii="Times New Roman" w:hAnsi="Times New Roman"/>
          <w:sz w:val="24"/>
          <w:szCs w:val="24"/>
        </w:rPr>
        <w:softHyphen/>
        <w:t>знать в достаточной степени условной.</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При выборе факторов стоимости для моделирования также учитывался тот факт, что полученная зависимость между фактором стоимости и УПКСЗ для объектов аналогов должна соответствовать зависи</w:t>
      </w:r>
      <w:r>
        <w:rPr>
          <w:rFonts w:ascii="Times New Roman" w:hAnsi="Times New Roman"/>
          <w:sz w:val="24"/>
          <w:szCs w:val="24"/>
        </w:rPr>
        <w:t>мости между фактором стоимости и УПКСЗ для объектов оценки. В связи с этим в ряде случаях, несмотря на высокий коэффициент значимости, фактор стоимости не участвовал в построении модели.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Результат выбора факторов стоимости для построения моделей по каждой </w:t>
      </w:r>
      <w:r>
        <w:rPr>
          <w:rFonts w:ascii="Times New Roman" w:hAnsi="Times New Roman"/>
          <w:sz w:val="24"/>
          <w:szCs w:val="24"/>
        </w:rPr>
        <w:t xml:space="preserve">сформированной группе отображен в Таблице «Анализ модели 4 сегмент» Приложения 2.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Построенная статистическая модель должна выражать зависимость кадастровой стоимости или удельного показателя кадастровой стоимости от значений факторов стоимости.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Если пост</w:t>
      </w:r>
      <w:r>
        <w:rPr>
          <w:rFonts w:ascii="Times New Roman" w:hAnsi="Times New Roman"/>
          <w:sz w:val="24"/>
          <w:szCs w:val="24"/>
        </w:rPr>
        <w:t>роенная статистическая модель выражает зависимость кадастровой стоимости земельного участка от значений факторов стоимости, то расчет кадастровой стоимости земельных участков в составе земель населенных пунктов осуществляется подстановкой значений факторов</w:t>
      </w:r>
      <w:r>
        <w:rPr>
          <w:rFonts w:ascii="Times New Roman" w:hAnsi="Times New Roman"/>
          <w:sz w:val="24"/>
          <w:szCs w:val="24"/>
        </w:rPr>
        <w:t xml:space="preserve"> стоимости земельных участков в составе земель населенных пунктов в статистическую модель расчета кадастровой стоимости земельных участков в составе земель населенных пунктов.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Если построенная статистическая модель выражает зависимость удельного показателя</w:t>
      </w:r>
      <w:r>
        <w:rPr>
          <w:rFonts w:ascii="Times New Roman" w:hAnsi="Times New Roman"/>
          <w:sz w:val="24"/>
          <w:szCs w:val="24"/>
        </w:rPr>
        <w:t xml:space="preserve"> кадастровой стоимости земельного участка от значений факторов стоимости, кадастровая стоимость земельного участка определяется следующим образом:</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определяется удельный показатель кадастровой стоимости земельного участка путем подстановки значений фактор</w:t>
      </w:r>
      <w:r>
        <w:rPr>
          <w:rFonts w:ascii="Times New Roman" w:hAnsi="Times New Roman"/>
          <w:sz w:val="24"/>
          <w:szCs w:val="24"/>
        </w:rPr>
        <w:t>ов стоимости земельного участка в статистическую модель расчета удельного показателя кадастровой стоимости земельных участков в составе земель населенных пунктов;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 определяется кадастровая стоимость земельного участка путем умножения удельного показателя </w:t>
      </w:r>
      <w:r>
        <w:rPr>
          <w:rFonts w:ascii="Times New Roman" w:hAnsi="Times New Roman"/>
          <w:sz w:val="24"/>
          <w:szCs w:val="24"/>
        </w:rPr>
        <w:t>кадастровой стоимости земельного участка на площадь земельного участка.</w:t>
      </w:r>
    </w:p>
    <w:p w:rsidR="00E85D42" w:rsidRDefault="008113B9">
      <w:pPr>
        <w:pStyle w:val="8"/>
        <w:numPr>
          <w:ilvl w:val="2"/>
          <w:numId w:val="22"/>
        </w:numPr>
        <w:ind w:left="567"/>
      </w:pPr>
      <w:r>
        <w:rPr>
          <w:rFonts w:eastAsia="Calibri"/>
          <w:b/>
          <w:sz w:val="24"/>
          <w:lang w:eastAsia="en-US"/>
        </w:rPr>
        <w:t>Расчет кадастровой стоимости земельных участков, отнесенных по виду разрешенного использования к сегменту «Отдых (рекреация)":</w:t>
      </w:r>
      <w:r>
        <w:t xml:space="preserve"> </w:t>
      </w:r>
      <w:r>
        <w:rPr>
          <w:rFonts w:eastAsia="Calibri"/>
          <w:b/>
          <w:sz w:val="24"/>
          <w:lang w:eastAsia="en-US"/>
        </w:rPr>
        <w:t>02:040; 04:070; 04:097; 05:014; 05:022; 05:030; 08:040; 0</w:t>
      </w:r>
      <w:r>
        <w:rPr>
          <w:rFonts w:eastAsia="Calibri"/>
          <w:b/>
          <w:sz w:val="24"/>
          <w:lang w:eastAsia="en-US"/>
        </w:rPr>
        <w:t>9:021; 09:023; 05:000</w:t>
      </w:r>
    </w:p>
    <w:p w:rsidR="00E85D42" w:rsidRDefault="00E85D42">
      <w:pPr>
        <w:rPr>
          <w:rFonts w:eastAsia="Calibri"/>
          <w:lang w:eastAsia="en-US"/>
        </w:rPr>
      </w:pPr>
    </w:p>
    <w:p w:rsidR="00E85D42" w:rsidRDefault="008113B9">
      <w:pPr>
        <w:pStyle w:val="affffc"/>
        <w:ind w:firstLine="709"/>
        <w:jc w:val="both"/>
      </w:pPr>
      <w:r>
        <w:rPr>
          <w:rFonts w:ascii="Times New Roman" w:eastAsia="Times New Roman" w:hAnsi="Times New Roman"/>
          <w:i/>
          <w:sz w:val="24"/>
          <w:szCs w:val="24"/>
        </w:rPr>
        <w:t xml:space="preserve">Определение кадастровой стоимости земельных участков с видами использования </w:t>
      </w:r>
      <w:r>
        <w:rPr>
          <w:rStyle w:val="inlinelabel"/>
          <w:rFonts w:ascii="Times New Roman" w:hAnsi="Times New Roman"/>
          <w:i/>
          <w:sz w:val="24"/>
          <w:szCs w:val="24"/>
        </w:rPr>
        <w:t xml:space="preserve">02:040; 04:070; 04:097; 05:014; 05:022; 05:030; 08:040; 09:021; 09:023; 05:000, </w:t>
      </w:r>
      <w:r>
        <w:rPr>
          <w:rFonts w:ascii="Times New Roman" w:hAnsi="Times New Roman"/>
          <w:sz w:val="24"/>
          <w:szCs w:val="24"/>
        </w:rPr>
        <w:t>в соответствии с методическими указаниями, утвержденных приказом министерства</w:t>
      </w:r>
      <w:r>
        <w:rPr>
          <w:rFonts w:ascii="Times New Roman" w:hAnsi="Times New Roman"/>
          <w:sz w:val="24"/>
          <w:szCs w:val="24"/>
        </w:rPr>
        <w:t xml:space="preserve"> экономического развития Российской Федерации от 12.05.2017 № 226 осуществляются на основе построения статистических моделей расчета кадастровой стоимости земельных участков в следующем порядке: </w:t>
      </w:r>
    </w:p>
    <w:p w:rsidR="00E85D42" w:rsidRDefault="008113B9">
      <w:pPr>
        <w:pStyle w:val="af0"/>
        <w:spacing w:after="0"/>
        <w:ind w:left="0" w:firstLine="720"/>
        <w:rPr>
          <w:sz w:val="24"/>
        </w:rPr>
      </w:pPr>
      <w:r>
        <w:rPr>
          <w:sz w:val="24"/>
        </w:rPr>
        <w:t>– определение состава факторов стоимости земельных участков;</w:t>
      </w:r>
    </w:p>
    <w:p w:rsidR="00E85D42" w:rsidRDefault="008113B9">
      <w:pPr>
        <w:pStyle w:val="af0"/>
        <w:spacing w:after="0"/>
        <w:ind w:left="0" w:firstLine="720"/>
        <w:rPr>
          <w:sz w:val="24"/>
        </w:rPr>
      </w:pPr>
      <w:r>
        <w:rPr>
          <w:sz w:val="24"/>
        </w:rPr>
        <w:t>– сбор сведений о значениях факторов стоимости земельных участков;</w:t>
      </w:r>
    </w:p>
    <w:p w:rsidR="00E85D42" w:rsidRDefault="008113B9">
      <w:pPr>
        <w:pStyle w:val="af0"/>
        <w:spacing w:after="0"/>
        <w:ind w:left="0" w:firstLine="720"/>
        <w:rPr>
          <w:sz w:val="24"/>
        </w:rPr>
      </w:pPr>
      <w:r>
        <w:rPr>
          <w:sz w:val="24"/>
        </w:rPr>
        <w:t>– создание слоев цифровых тематических карт населенных пунктов;</w:t>
      </w:r>
    </w:p>
    <w:p w:rsidR="00E85D42" w:rsidRDefault="008113B9">
      <w:pPr>
        <w:pStyle w:val="af0"/>
        <w:spacing w:after="0"/>
        <w:ind w:left="0" w:firstLine="720"/>
        <w:rPr>
          <w:sz w:val="24"/>
        </w:rPr>
      </w:pPr>
      <w:r>
        <w:rPr>
          <w:sz w:val="24"/>
        </w:rPr>
        <w:t>– группировка земельных участков в составе земель населенных пунктов;</w:t>
      </w:r>
    </w:p>
    <w:p w:rsidR="00E85D42" w:rsidRDefault="008113B9">
      <w:pPr>
        <w:pStyle w:val="af0"/>
        <w:spacing w:after="0"/>
        <w:ind w:left="0" w:firstLine="720"/>
        <w:rPr>
          <w:sz w:val="24"/>
        </w:rPr>
      </w:pPr>
      <w:r>
        <w:rPr>
          <w:sz w:val="24"/>
        </w:rPr>
        <w:t>– сбор достаточной и достоверной рыночной информации о</w:t>
      </w:r>
      <w:r>
        <w:rPr>
          <w:sz w:val="24"/>
        </w:rPr>
        <w:t xml:space="preserve"> земельных участках для каждой сформированной группы;</w:t>
      </w:r>
    </w:p>
    <w:p w:rsidR="00E85D42" w:rsidRDefault="008113B9">
      <w:pPr>
        <w:pStyle w:val="af0"/>
        <w:spacing w:after="0"/>
        <w:ind w:left="0" w:firstLine="720"/>
        <w:rPr>
          <w:sz w:val="24"/>
        </w:rPr>
      </w:pPr>
      <w:r>
        <w:rPr>
          <w:sz w:val="24"/>
        </w:rPr>
        <w:t>– построение статистических моделей расчета кадастровой стоимости для каждой сформированной группы земельных участков;</w:t>
      </w:r>
    </w:p>
    <w:p w:rsidR="00E85D42" w:rsidRDefault="008113B9">
      <w:pPr>
        <w:pStyle w:val="af0"/>
        <w:spacing w:after="0"/>
        <w:ind w:left="0" w:firstLine="720"/>
        <w:rPr>
          <w:sz w:val="24"/>
        </w:rPr>
      </w:pPr>
      <w:r>
        <w:rPr>
          <w:sz w:val="24"/>
        </w:rPr>
        <w:t>– расчет кадастровой стоимости земельных участков.</w:t>
      </w:r>
    </w:p>
    <w:p w:rsidR="00E85D42" w:rsidRDefault="008113B9">
      <w:pPr>
        <w:rPr>
          <w:rFonts w:eastAsia="Calibri"/>
          <w:lang w:eastAsia="en-US"/>
        </w:rPr>
      </w:pPr>
      <w:r>
        <w:rPr>
          <w:rFonts w:eastAsia="Calibri"/>
          <w:lang w:eastAsia="en-US"/>
        </w:rPr>
        <w:tab/>
      </w:r>
    </w:p>
    <w:p w:rsidR="00E85D42" w:rsidRDefault="008113B9">
      <w:pPr>
        <w:jc w:val="both"/>
      </w:pPr>
      <w:r>
        <w:rPr>
          <w:rFonts w:eastAsia="Calibri"/>
          <w:lang w:eastAsia="en-US"/>
        </w:rPr>
        <w:tab/>
      </w:r>
      <w:r>
        <w:rPr>
          <w:rFonts w:eastAsia="Calibri"/>
          <w:sz w:val="24"/>
          <w:szCs w:val="24"/>
          <w:lang w:eastAsia="en-US"/>
        </w:rPr>
        <w:t xml:space="preserve">При расчете кадастровой </w:t>
      </w:r>
      <w:r>
        <w:rPr>
          <w:rFonts w:eastAsia="Calibri"/>
          <w:sz w:val="24"/>
          <w:szCs w:val="24"/>
          <w:lang w:eastAsia="en-US"/>
        </w:rPr>
        <w:t>стоимости были использованы модели, которые рассчитывались по 13 сегменту (ИЖС, ЛПХ) с последующей корректировкой на вид разрешенного использования. Построенные модели описаны в разделе 3.6.13.</w:t>
      </w:r>
    </w:p>
    <w:p w:rsidR="00E85D42" w:rsidRDefault="008113B9">
      <w:pPr>
        <w:jc w:val="both"/>
      </w:pPr>
      <w:r>
        <w:rPr>
          <w:rFonts w:eastAsia="Calibri"/>
          <w:sz w:val="24"/>
          <w:szCs w:val="24"/>
          <w:lang w:eastAsia="en-US"/>
        </w:rPr>
        <w:tab/>
        <w:t xml:space="preserve">Корректировка на вид разрешенного использования представлена </w:t>
      </w:r>
      <w:r>
        <w:rPr>
          <w:rFonts w:eastAsia="Calibri"/>
          <w:sz w:val="24"/>
          <w:szCs w:val="24"/>
          <w:lang w:eastAsia="en-US"/>
        </w:rPr>
        <w:t>в таблице</w:t>
      </w:r>
      <w:r>
        <w:rPr>
          <w:rStyle w:val="af4"/>
          <w:rFonts w:eastAsia="Calibri"/>
          <w:sz w:val="24"/>
          <w:szCs w:val="24"/>
          <w:lang w:eastAsia="en-US"/>
        </w:rPr>
        <w:footnoteReference w:id="27"/>
      </w:r>
      <w:r>
        <w:rPr>
          <w:rFonts w:eastAsia="Calibri"/>
          <w:sz w:val="24"/>
          <w:szCs w:val="24"/>
          <w:lang w:eastAsia="en-US"/>
        </w:rPr>
        <w:t>:</w:t>
      </w:r>
    </w:p>
    <w:p w:rsidR="00E85D42" w:rsidRDefault="00E85D42">
      <w:pPr>
        <w:pStyle w:val="Standarduser"/>
        <w:jc w:val="right"/>
      </w:pPr>
    </w:p>
    <w:p w:rsidR="00E85D42" w:rsidRDefault="00E85D42">
      <w:pPr>
        <w:pStyle w:val="Standarduser"/>
        <w:jc w:val="right"/>
      </w:pPr>
    </w:p>
    <w:p w:rsidR="00E85D42" w:rsidRDefault="00E85D42">
      <w:pPr>
        <w:pStyle w:val="Standarduser"/>
        <w:jc w:val="right"/>
      </w:pPr>
    </w:p>
    <w:p w:rsidR="00E85D42" w:rsidRDefault="00E85D42">
      <w:pPr>
        <w:pStyle w:val="Standarduser"/>
        <w:jc w:val="right"/>
      </w:pPr>
    </w:p>
    <w:p w:rsidR="00E85D42" w:rsidRDefault="008113B9">
      <w:pPr>
        <w:pStyle w:val="Standarduser"/>
        <w:jc w:val="right"/>
      </w:pPr>
      <w:r>
        <w:t>Таблица 3.6.5.1</w:t>
      </w:r>
    </w:p>
    <w:tbl>
      <w:tblPr>
        <w:tblW w:w="5000" w:type="pct"/>
        <w:tblCellMar>
          <w:left w:w="10" w:type="dxa"/>
          <w:right w:w="10" w:type="dxa"/>
        </w:tblCellMar>
        <w:tblLook w:val="04A0" w:firstRow="1" w:lastRow="0" w:firstColumn="1" w:lastColumn="0" w:noHBand="0" w:noVBand="1"/>
      </w:tblPr>
      <w:tblGrid>
        <w:gridCol w:w="5786"/>
        <w:gridCol w:w="2292"/>
        <w:gridCol w:w="1636"/>
      </w:tblGrid>
      <w:tr w:rsidR="00E85D42">
        <w:tblPrEx>
          <w:tblCellMar>
            <w:top w:w="0" w:type="dxa"/>
            <w:bottom w:w="0" w:type="dxa"/>
          </w:tblCellMar>
        </w:tblPrEx>
        <w:trPr>
          <w:trHeight w:val="2265"/>
        </w:trPr>
        <w:tc>
          <w:tcPr>
            <w:tcW w:w="5786"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vAlign w:val="center"/>
          </w:tcPr>
          <w:p w:rsidR="00E85D42" w:rsidRDefault="008113B9">
            <w:pPr>
              <w:jc w:val="center"/>
              <w:rPr>
                <w:color w:val="000000"/>
              </w:rPr>
            </w:pPr>
            <w:r>
              <w:rPr>
                <w:color w:val="000000"/>
              </w:rPr>
              <w:t>Описание вида разрешенного использования земельного участка</w:t>
            </w:r>
          </w:p>
        </w:tc>
        <w:tc>
          <w:tcPr>
            <w:tcW w:w="2292" w:type="dxa"/>
            <w:tcBorders>
              <w:top w:val="single" w:sz="8" w:space="0" w:color="000000"/>
              <w:bottom w:val="single" w:sz="8" w:space="0" w:color="000000"/>
              <w:right w:val="single" w:sz="8" w:space="0" w:color="000000"/>
            </w:tcBorders>
            <w:shd w:val="clear" w:color="auto" w:fill="DAEEF3"/>
            <w:tcMar>
              <w:top w:w="0" w:type="dxa"/>
              <w:left w:w="108" w:type="dxa"/>
              <w:bottom w:w="0" w:type="dxa"/>
              <w:right w:w="108" w:type="dxa"/>
            </w:tcMar>
            <w:vAlign w:val="center"/>
          </w:tcPr>
          <w:p w:rsidR="00E85D42" w:rsidRDefault="008113B9">
            <w:pPr>
              <w:jc w:val="center"/>
              <w:rPr>
                <w:b/>
                <w:bCs/>
                <w:color w:val="333333"/>
              </w:rPr>
            </w:pPr>
            <w:r>
              <w:rPr>
                <w:b/>
                <w:bCs/>
                <w:color w:val="333333"/>
              </w:rPr>
              <w:t xml:space="preserve">Среднее значение соотношения удельных рыночных </w:t>
            </w:r>
            <w:r>
              <w:rPr>
                <w:b/>
                <w:bCs/>
                <w:color w:val="333333"/>
              </w:rPr>
              <w:t>цен аналогичных по остальным параметрам земельных участков</w:t>
            </w:r>
          </w:p>
        </w:tc>
        <w:tc>
          <w:tcPr>
            <w:tcW w:w="1636" w:type="dxa"/>
            <w:tcBorders>
              <w:top w:val="single" w:sz="8" w:space="0" w:color="000000"/>
              <w:bottom w:val="single" w:sz="8" w:space="0" w:color="000000"/>
              <w:right w:val="single" w:sz="8" w:space="0" w:color="000000"/>
            </w:tcBorders>
            <w:shd w:val="clear" w:color="auto" w:fill="DAEEF3"/>
            <w:tcMar>
              <w:top w:w="0" w:type="dxa"/>
              <w:left w:w="108" w:type="dxa"/>
              <w:bottom w:w="0" w:type="dxa"/>
              <w:right w:w="108" w:type="dxa"/>
            </w:tcMar>
            <w:vAlign w:val="center"/>
          </w:tcPr>
          <w:p w:rsidR="00E85D42" w:rsidRDefault="008113B9">
            <w:pPr>
              <w:jc w:val="center"/>
              <w:rPr>
                <w:b/>
                <w:bCs/>
                <w:color w:val="333333"/>
              </w:rPr>
            </w:pPr>
            <w:r>
              <w:rPr>
                <w:b/>
                <w:bCs/>
                <w:color w:val="333333"/>
              </w:rPr>
              <w:t>Корректировка</w:t>
            </w:r>
          </w:p>
        </w:tc>
      </w:tr>
      <w:tr w:rsidR="00E85D42">
        <w:tblPrEx>
          <w:tblCellMar>
            <w:top w:w="0" w:type="dxa"/>
            <w:bottom w:w="0" w:type="dxa"/>
          </w:tblCellMar>
        </w:tblPrEx>
        <w:trPr>
          <w:trHeight w:val="964"/>
        </w:trPr>
        <w:tc>
          <w:tcPr>
            <w:tcW w:w="5786"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85D42" w:rsidRDefault="008113B9">
            <w:pPr>
              <w:jc w:val="center"/>
            </w:pPr>
            <w:r>
              <w:rPr>
                <w:color w:val="000000"/>
              </w:rPr>
              <w:t>Размещение</w:t>
            </w:r>
            <w:r>
              <w:rPr>
                <w:b/>
                <w:bCs/>
                <w:color w:val="000000"/>
              </w:rPr>
              <w:t> гостиниц, </w:t>
            </w:r>
            <w:r>
              <w:rPr>
                <w:color w:val="000000"/>
              </w:rPr>
              <w:t>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w:t>
            </w:r>
            <w:r>
              <w:rPr>
                <w:color w:val="000000"/>
              </w:rPr>
              <w:t>лого помещения для временного проживания в них</w:t>
            </w:r>
          </w:p>
        </w:tc>
        <w:tc>
          <w:tcPr>
            <w:tcW w:w="229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E85D42" w:rsidRDefault="008113B9">
            <w:pPr>
              <w:jc w:val="center"/>
              <w:rPr>
                <w:b/>
                <w:bCs/>
                <w:color w:val="333333"/>
              </w:rPr>
            </w:pPr>
            <w:r>
              <w:rPr>
                <w:b/>
                <w:bCs/>
                <w:color w:val="333333"/>
              </w:rPr>
              <w:t>0,96</w:t>
            </w:r>
          </w:p>
        </w:tc>
        <w:tc>
          <w:tcPr>
            <w:tcW w:w="1636"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E85D42" w:rsidRDefault="008113B9">
            <w:pPr>
              <w:jc w:val="center"/>
            </w:pPr>
            <w:r>
              <w:rPr>
                <w:b/>
                <w:color w:val="000000"/>
              </w:rPr>
              <w:t>1,96</w:t>
            </w:r>
          </w:p>
        </w:tc>
      </w:tr>
      <w:tr w:rsidR="00E85D42">
        <w:tblPrEx>
          <w:tblCellMar>
            <w:top w:w="0" w:type="dxa"/>
            <w:bottom w:w="0" w:type="dxa"/>
          </w:tblCellMar>
        </w:tblPrEx>
        <w:trPr>
          <w:trHeight w:val="1351"/>
        </w:trPr>
        <w:tc>
          <w:tcPr>
            <w:tcW w:w="5786"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85D42" w:rsidRDefault="008113B9">
            <w:pPr>
              <w:jc w:val="center"/>
            </w:pPr>
            <w:r>
              <w:rPr>
                <w:color w:val="000000"/>
              </w:rPr>
              <w:t>Размещение жилого дома </w:t>
            </w:r>
            <w:r>
              <w:rPr>
                <w:b/>
                <w:bCs/>
                <w:color w:val="000000"/>
              </w:rPr>
              <w:t>(индивидуальное жилищное строительство</w:t>
            </w:r>
            <w:r>
              <w:rPr>
                <w:color w:val="000000"/>
              </w:rPr>
              <w:t xml:space="preserve">), не предназначенного для раздела на квартиры (дом, пригодный для постоянного проживания, высотой не выше трех надземных этажей); </w:t>
            </w:r>
            <w:r>
              <w:rPr>
                <w:color w:val="000000"/>
              </w:rPr>
              <w:t>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c>
          <w:tcPr>
            <w:tcW w:w="229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E85D42" w:rsidRDefault="008113B9">
            <w:pPr>
              <w:jc w:val="center"/>
              <w:rPr>
                <w:b/>
                <w:bCs/>
                <w:color w:val="333333"/>
              </w:rPr>
            </w:pPr>
            <w:r>
              <w:rPr>
                <w:b/>
                <w:bCs/>
                <w:color w:val="333333"/>
              </w:rPr>
              <w:t>0,49</w:t>
            </w:r>
          </w:p>
        </w:tc>
        <w:tc>
          <w:tcPr>
            <w:tcW w:w="1636"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E85D42" w:rsidRDefault="008113B9">
            <w:pPr>
              <w:jc w:val="center"/>
              <w:rPr>
                <w:b/>
                <w:bCs/>
                <w:color w:val="333333"/>
              </w:rPr>
            </w:pPr>
            <w:r>
              <w:rPr>
                <w:b/>
                <w:bCs/>
                <w:color w:val="333333"/>
              </w:rPr>
              <w:t>0</w:t>
            </w:r>
          </w:p>
        </w:tc>
      </w:tr>
    </w:tbl>
    <w:p w:rsidR="00E85D42" w:rsidRDefault="00E85D42">
      <w:pPr>
        <w:jc w:val="both"/>
        <w:rPr>
          <w:rFonts w:eastAsia="Calibri"/>
          <w:sz w:val="24"/>
          <w:szCs w:val="24"/>
          <w:lang w:eastAsia="en-US"/>
        </w:rPr>
      </w:pPr>
    </w:p>
    <w:p w:rsidR="00E85D42" w:rsidRDefault="008113B9">
      <w:pPr>
        <w:pStyle w:val="8"/>
        <w:numPr>
          <w:ilvl w:val="2"/>
          <w:numId w:val="22"/>
        </w:numPr>
        <w:ind w:left="567"/>
      </w:pPr>
      <w:r>
        <w:rPr>
          <w:rFonts w:eastAsia="Calibri"/>
          <w:b/>
          <w:sz w:val="24"/>
          <w:lang w:eastAsia="en-US"/>
        </w:rPr>
        <w:t xml:space="preserve">Расчет кадастровой стоимости земельных участков, отнесенных по виду разрешенного использования к </w:t>
      </w:r>
      <w:r>
        <w:rPr>
          <w:rFonts w:eastAsia="Calibri"/>
          <w:b/>
          <w:sz w:val="24"/>
          <w:lang w:eastAsia="en-US"/>
        </w:rPr>
        <w:t>сегменту «Производственная деятельность":</w:t>
      </w:r>
      <w:r>
        <w:t xml:space="preserve"> </w:t>
      </w:r>
      <w:r>
        <w:rPr>
          <w:rFonts w:eastAsia="Calibri"/>
          <w:b/>
          <w:sz w:val="24"/>
          <w:lang w:eastAsia="en-US"/>
        </w:rPr>
        <w:t>01:087; 01:088; 01:090; 01:091; 01:092; 01:100; 01:101; 01:102; 01:110; 01:111; 01:112; 01:122; 01:132; 01:150; 01:172; 01:180; 01:181; 01:182; 03:011; 03:012; 03:093; 04:095; 04:098; 04:099; 05:040; 06:010; 06:011</w:t>
      </w:r>
      <w:r>
        <w:rPr>
          <w:rFonts w:eastAsia="Calibri"/>
          <w:b/>
          <w:sz w:val="24"/>
          <w:lang w:eastAsia="en-US"/>
        </w:rPr>
        <w:t>; 06:012; 06:013; 06:014; 06:020; 06:021; 06:030; 06:031; 06:040; 06:050; 06:060; 06:070; 06:071; 06:072; 06:073; 06:074; 06:080; 06:090; 06:091; 06:092; 06:093; 06:100; 06:101; 06:110; 06:111; 07:010; 07:011; 07:012; 07:013; 07:014; 07:015; 07:020; 07:030</w:t>
      </w:r>
      <w:r>
        <w:rPr>
          <w:rFonts w:eastAsia="Calibri"/>
          <w:b/>
          <w:sz w:val="24"/>
          <w:lang w:eastAsia="en-US"/>
        </w:rPr>
        <w:t>; 07:031; 07:032; 07:040; 07:041; 07:042; 07:050; 07:051; 08:010; 08:012; 08:013; 08:031; 10:011; 10:012; 11:030; 12:001;06:000</w:t>
      </w:r>
    </w:p>
    <w:p w:rsidR="00E85D42" w:rsidRDefault="00E85D42">
      <w:pPr>
        <w:rPr>
          <w:rFonts w:eastAsia="Calibri"/>
          <w:lang w:eastAsia="en-US"/>
        </w:rPr>
      </w:pPr>
    </w:p>
    <w:p w:rsidR="00E85D42" w:rsidRDefault="008113B9">
      <w:pPr>
        <w:jc w:val="both"/>
      </w:pPr>
      <w:r>
        <w:rPr>
          <w:i/>
          <w:sz w:val="24"/>
          <w:szCs w:val="24"/>
        </w:rPr>
        <w:t xml:space="preserve">Расчет кадастровой стоимости земельных участков с кодами расчета видов использования: 01:182; 03:012; 03:093; 05:040; 06:010; </w:t>
      </w:r>
      <w:r>
        <w:rPr>
          <w:i/>
          <w:sz w:val="24"/>
          <w:szCs w:val="24"/>
        </w:rPr>
        <w:t>06:011; 06:012; 06:013; 06:014; 06:070; 06:071; 06:072; 06:073; 06:091; 06:093; 06:100; 07:011; 07:014; 07:031; 07:032; 07:040; 07:041; 07:051; 08:013; 08:031; 11:030</w:t>
      </w:r>
      <w:r>
        <w:rPr>
          <w:sz w:val="24"/>
          <w:szCs w:val="24"/>
        </w:rPr>
        <w:t xml:space="preserve"> произведен в соответствии с </w:t>
      </w:r>
      <w:r>
        <w:t xml:space="preserve">9.2.2.5.3.1. </w:t>
      </w:r>
      <w:r>
        <w:rPr>
          <w:sz w:val="24"/>
          <w:szCs w:val="24"/>
        </w:rPr>
        <w:t>Указаний  в рамках индивидуального расчета. Опис</w:t>
      </w:r>
      <w:r>
        <w:rPr>
          <w:sz w:val="24"/>
          <w:szCs w:val="24"/>
        </w:rPr>
        <w:t xml:space="preserve">ание проведенных расчетов приведено в </w:t>
      </w:r>
      <w:hyperlink r:id="rId351" w:history="1">
        <w:r>
          <w:rPr>
            <w:rStyle w:val="a5"/>
            <w:sz w:val="24"/>
            <w:szCs w:val="24"/>
          </w:rPr>
          <w:t>разделе 3.6. Отчета</w:t>
        </w:r>
      </w:hyperlink>
      <w:r>
        <w:rPr>
          <w:sz w:val="24"/>
          <w:szCs w:val="24"/>
        </w:rPr>
        <w:t xml:space="preserve">. </w:t>
      </w:r>
    </w:p>
    <w:p w:rsidR="00E85D42" w:rsidRDefault="00E85D42">
      <w:pPr>
        <w:jc w:val="both"/>
        <w:rPr>
          <w:sz w:val="24"/>
          <w:szCs w:val="24"/>
        </w:rPr>
      </w:pPr>
    </w:p>
    <w:p w:rsidR="00E85D42" w:rsidRDefault="008113B9">
      <w:pPr>
        <w:jc w:val="both"/>
        <w:rPr>
          <w:i/>
          <w:sz w:val="24"/>
          <w:szCs w:val="24"/>
        </w:rPr>
      </w:pPr>
      <w:r>
        <w:rPr>
          <w:i/>
          <w:sz w:val="24"/>
          <w:szCs w:val="24"/>
        </w:rPr>
        <w:t>Земельные участки видов разрешенного использования 01:087, 01:088, 01:090, 01:091, 01:092, 01:100, 01:101, 01:102, 01:110, 01:111, 01:112, 01:122, 01:132, 01:150, 01:</w:t>
      </w:r>
      <w:r>
        <w:rPr>
          <w:i/>
          <w:sz w:val="24"/>
          <w:szCs w:val="24"/>
        </w:rPr>
        <w:t>172, 01:180, 01:181, 06:000, 06:020, 06:021, 06:030, 06:031, 06:040, 06:050, 06:060, 06:090, 06:092, 06:101, 06:110, 06:111, 07:012, 07:013, 07:042, 08:010, 08:012, 10:011</w:t>
      </w:r>
    </w:p>
    <w:p w:rsidR="00E85D42" w:rsidRDefault="008113B9">
      <w:pPr>
        <w:jc w:val="both"/>
      </w:pPr>
      <w:r>
        <w:rPr>
          <w:i/>
          <w:sz w:val="24"/>
          <w:szCs w:val="24"/>
        </w:rPr>
        <w:t xml:space="preserve"> </w:t>
      </w:r>
      <w:r>
        <w:rPr>
          <w:rFonts w:eastAsia="Calibri"/>
          <w:sz w:val="24"/>
          <w:lang w:eastAsia="en-US"/>
        </w:rPr>
        <w:t>Согласно п.п. 9.2.2.5.3.2.</w:t>
      </w:r>
      <w:r>
        <w:t xml:space="preserve"> </w:t>
      </w:r>
      <w:r>
        <w:rPr>
          <w:rFonts w:eastAsia="Calibri"/>
          <w:sz w:val="24"/>
          <w:lang w:eastAsia="en-US"/>
        </w:rPr>
        <w:t>Указаний, определение кадастровой стоимости земельных уч</w:t>
      </w:r>
      <w:r>
        <w:rPr>
          <w:rFonts w:eastAsia="Calibri"/>
          <w:sz w:val="24"/>
          <w:lang w:eastAsia="en-US"/>
        </w:rPr>
        <w:t>астков осуществляется в следующем порядке:</w:t>
      </w:r>
    </w:p>
    <w:p w:rsidR="00E85D42" w:rsidRDefault="008113B9">
      <w:pPr>
        <w:autoSpaceDE w:val="0"/>
        <w:ind w:firstLine="567"/>
        <w:jc w:val="both"/>
        <w:rPr>
          <w:rFonts w:eastAsia="Calibri"/>
          <w:sz w:val="24"/>
          <w:lang w:eastAsia="en-US"/>
        </w:rPr>
      </w:pPr>
      <w:r>
        <w:rPr>
          <w:rFonts w:eastAsia="Calibri"/>
          <w:sz w:val="24"/>
          <w:lang w:eastAsia="en-US"/>
        </w:rPr>
        <w:t>- группировка земельных участков на основе схожести их характеристик, определенных в разрезе ценообразующих факторов;</w:t>
      </w:r>
    </w:p>
    <w:p w:rsidR="00E85D42" w:rsidRDefault="008113B9">
      <w:pPr>
        <w:autoSpaceDE w:val="0"/>
        <w:ind w:firstLine="567"/>
        <w:jc w:val="both"/>
        <w:rPr>
          <w:rFonts w:eastAsia="Calibri"/>
          <w:sz w:val="24"/>
          <w:lang w:eastAsia="en-US"/>
        </w:rPr>
      </w:pPr>
      <w:r>
        <w:rPr>
          <w:rFonts w:eastAsia="Calibri"/>
          <w:sz w:val="24"/>
          <w:lang w:eastAsia="en-US"/>
        </w:rPr>
        <w:t>- определение кадастровой стоимости земельных участков.</w:t>
      </w:r>
    </w:p>
    <w:p w:rsidR="00E85D42" w:rsidRDefault="008113B9">
      <w:pPr>
        <w:autoSpaceDE w:val="0"/>
        <w:ind w:firstLine="567"/>
        <w:jc w:val="both"/>
      </w:pPr>
      <w:r>
        <w:rPr>
          <w:rFonts w:eastAsia="Calibri"/>
          <w:b/>
          <w:bCs/>
          <w:sz w:val="24"/>
          <w:lang w:eastAsia="en-US"/>
        </w:rPr>
        <w:t>Группировка земельных участков</w:t>
      </w:r>
      <w:r>
        <w:rPr>
          <w:rFonts w:eastAsia="Calibri"/>
          <w:sz w:val="24"/>
          <w:lang w:eastAsia="en-US"/>
        </w:rPr>
        <w:t xml:space="preserve"> предпола</w:t>
      </w:r>
      <w:r>
        <w:rPr>
          <w:rFonts w:eastAsia="Calibri"/>
          <w:sz w:val="24"/>
          <w:lang w:eastAsia="en-US"/>
        </w:rPr>
        <w:t>гает следующую последовательность действий:</w:t>
      </w:r>
    </w:p>
    <w:p w:rsidR="00E85D42" w:rsidRDefault="008113B9">
      <w:pPr>
        <w:autoSpaceDE w:val="0"/>
        <w:ind w:firstLine="567"/>
        <w:jc w:val="both"/>
        <w:rPr>
          <w:rFonts w:eastAsia="Calibri"/>
          <w:sz w:val="24"/>
          <w:lang w:eastAsia="en-US"/>
        </w:rPr>
      </w:pPr>
      <w:r>
        <w:rPr>
          <w:rFonts w:eastAsia="Calibri"/>
          <w:sz w:val="24"/>
          <w:lang w:eastAsia="en-US"/>
        </w:rPr>
        <w:t>определение перечня ценообразующих факторов для земельных участков на уровне населенного пункта, муниципального образовании, субъекта Российской Федерации, Российской Федерации;</w:t>
      </w:r>
    </w:p>
    <w:p w:rsidR="00E85D42" w:rsidRDefault="008113B9">
      <w:pPr>
        <w:autoSpaceDE w:val="0"/>
        <w:ind w:firstLine="567"/>
        <w:jc w:val="both"/>
        <w:rPr>
          <w:rFonts w:eastAsia="Calibri"/>
          <w:sz w:val="24"/>
          <w:lang w:eastAsia="en-US"/>
        </w:rPr>
      </w:pPr>
      <w:r>
        <w:rPr>
          <w:rFonts w:eastAsia="Calibri"/>
          <w:sz w:val="24"/>
          <w:lang w:eastAsia="en-US"/>
        </w:rPr>
        <w:t>объединение земельных участков в г</w:t>
      </w:r>
      <w:r>
        <w:rPr>
          <w:rFonts w:eastAsia="Calibri"/>
          <w:sz w:val="24"/>
          <w:lang w:eastAsia="en-US"/>
        </w:rPr>
        <w:t>руппы (подгруппы) на основе схожести их характеристик;</w:t>
      </w:r>
    </w:p>
    <w:p w:rsidR="00E85D42" w:rsidRDefault="008113B9">
      <w:pPr>
        <w:autoSpaceDE w:val="0"/>
        <w:ind w:firstLine="567"/>
        <w:jc w:val="both"/>
        <w:rPr>
          <w:rFonts w:eastAsia="Calibri"/>
          <w:sz w:val="24"/>
          <w:lang w:eastAsia="en-US"/>
        </w:rPr>
      </w:pPr>
      <w:r>
        <w:rPr>
          <w:rFonts w:eastAsia="Calibri"/>
          <w:sz w:val="24"/>
          <w:lang w:eastAsia="en-US"/>
        </w:rPr>
        <w:t>сбор достаточной рыночной информации на земельные участки по каждой из полученных групп (подгрупп);</w:t>
      </w:r>
    </w:p>
    <w:p w:rsidR="00E85D42" w:rsidRDefault="008113B9">
      <w:pPr>
        <w:autoSpaceDE w:val="0"/>
        <w:ind w:firstLine="709"/>
        <w:jc w:val="both"/>
      </w:pPr>
      <w:r>
        <w:rPr>
          <w:rFonts w:eastAsia="Calibri"/>
          <w:sz w:val="24"/>
          <w:lang w:eastAsia="en-US"/>
        </w:rPr>
        <w:t xml:space="preserve">На основе Примерного перечня ценообразующих факторов земельных участков (Приложение 3 к Методическим </w:t>
      </w:r>
      <w:r>
        <w:rPr>
          <w:rFonts w:eastAsia="Calibri"/>
          <w:sz w:val="24"/>
          <w:lang w:eastAsia="en-US"/>
        </w:rPr>
        <w:t>указаниям) были определены факторы, которые в основном влияют на рыночную стоимость объектов оценки. Кроме того, введены дополнительные факторы, не предусмотренные Методическими указаниями. Описание, а также обоснование использования, либо отказа от исполь</w:t>
      </w:r>
      <w:r>
        <w:rPr>
          <w:rFonts w:eastAsia="Calibri"/>
          <w:sz w:val="24"/>
          <w:lang w:eastAsia="en-US"/>
        </w:rPr>
        <w:t xml:space="preserve">зования ценообразующих факторов описаны в п.п. </w:t>
      </w:r>
      <w:hyperlink r:id="rId352" w:history="1">
        <w:r>
          <w:rPr>
            <w:rStyle w:val="a5"/>
            <w:rFonts w:eastAsia="Calibri"/>
            <w:sz w:val="24"/>
            <w:lang w:eastAsia="en-US"/>
          </w:rPr>
          <w:t>3.1.7</w:t>
        </w:r>
      </w:hyperlink>
      <w:r>
        <w:rPr>
          <w:rFonts w:eastAsia="Calibri"/>
          <w:sz w:val="24"/>
          <w:lang w:eastAsia="en-US"/>
        </w:rPr>
        <w:t xml:space="preserve"> настоящего Отчета. </w:t>
      </w:r>
    </w:p>
    <w:p w:rsidR="00E85D42" w:rsidRDefault="008113B9">
      <w:pPr>
        <w:ind w:firstLine="709"/>
        <w:jc w:val="both"/>
      </w:pPr>
      <w:r>
        <w:rPr>
          <w:rFonts w:eastAsia="Calibri"/>
          <w:sz w:val="24"/>
          <w:lang w:eastAsia="en-US"/>
        </w:rPr>
        <w:t>В перечне земельных участков, отнесенных ко второй группе, присутствуют земельные участки, не имеющие координат границ. Определение значений ценовых факто</w:t>
      </w:r>
      <w:r>
        <w:rPr>
          <w:rFonts w:eastAsia="Calibri"/>
          <w:sz w:val="24"/>
          <w:lang w:eastAsia="en-US"/>
        </w:rPr>
        <w:t>ров для участков в городских населенных пунктах не представляется возможным. Кроме того, имеются участки, кадастровый номер и сведения о местоположении, содержащиеся в ЕГРН не соответствуют их фактическому положению (земельные участки расположены за предел</w:t>
      </w:r>
      <w:r>
        <w:rPr>
          <w:rFonts w:eastAsia="Calibri"/>
          <w:sz w:val="24"/>
          <w:lang w:eastAsia="en-US"/>
        </w:rPr>
        <w:t>ами границ населенных пунктов). Для такого случая оценщиками введен дополнительный фактор «Графическая привязка» Данный фактор технический и используется для разделения участков в зависимости от технологии расчета. Участки, которые описаны в разрезе ценооб</w:t>
      </w:r>
      <w:r>
        <w:rPr>
          <w:rFonts w:eastAsia="Calibri"/>
          <w:sz w:val="24"/>
          <w:lang w:eastAsia="en-US"/>
        </w:rPr>
        <w:t>разующих факторов, т.е. по которым имеется полная информация, рассчитываются с использованием методов математического моделирования, для остальных участков значение УПКС принимается равным среднему значению УПКС в том же муниципальном районе, рассчитанному</w:t>
      </w:r>
      <w:r>
        <w:rPr>
          <w:rFonts w:eastAsia="Calibri"/>
          <w:sz w:val="24"/>
          <w:lang w:eastAsia="en-US"/>
        </w:rPr>
        <w:t xml:space="preserve"> методом математического моделирования. </w:t>
      </w:r>
      <w:r>
        <w:rPr>
          <w:color w:val="212529"/>
          <w:sz w:val="24"/>
          <w:szCs w:val="24"/>
        </w:rPr>
        <w:t>По фактору «Тип населенного пункта» объекты оценки были разделены на подгруппы:</w:t>
      </w:r>
    </w:p>
    <w:p w:rsidR="00E85D42" w:rsidRDefault="008113B9">
      <w:pPr>
        <w:pStyle w:val="ab"/>
        <w:numPr>
          <w:ilvl w:val="0"/>
          <w:numId w:val="31"/>
        </w:numPr>
        <w:jc w:val="both"/>
        <w:rPr>
          <w:color w:val="212529"/>
          <w:sz w:val="24"/>
        </w:rPr>
      </w:pPr>
      <w:r>
        <w:rPr>
          <w:color w:val="212529"/>
          <w:sz w:val="24"/>
        </w:rPr>
        <w:t>Земельные участки, предназначенные для размещения производственных объектов, расположенные в г. Уфа;</w:t>
      </w:r>
    </w:p>
    <w:p w:rsidR="00E85D42" w:rsidRDefault="008113B9">
      <w:pPr>
        <w:pStyle w:val="ab"/>
        <w:numPr>
          <w:ilvl w:val="0"/>
          <w:numId w:val="31"/>
        </w:numPr>
        <w:jc w:val="both"/>
        <w:rPr>
          <w:color w:val="212529"/>
          <w:sz w:val="24"/>
        </w:rPr>
      </w:pPr>
      <w:r>
        <w:rPr>
          <w:color w:val="212529"/>
          <w:sz w:val="24"/>
        </w:rPr>
        <w:t xml:space="preserve">Земельные участки, предназначенные </w:t>
      </w:r>
      <w:r>
        <w:rPr>
          <w:color w:val="212529"/>
          <w:sz w:val="24"/>
        </w:rPr>
        <w:t>для размещения производственных объектов, расположенные в городах Республики Башкортостан;</w:t>
      </w:r>
    </w:p>
    <w:p w:rsidR="00E85D42" w:rsidRDefault="008113B9">
      <w:pPr>
        <w:pStyle w:val="ab"/>
        <w:numPr>
          <w:ilvl w:val="0"/>
          <w:numId w:val="31"/>
        </w:numPr>
        <w:jc w:val="both"/>
        <w:rPr>
          <w:color w:val="212529"/>
          <w:sz w:val="24"/>
        </w:rPr>
      </w:pPr>
      <w:r>
        <w:rPr>
          <w:color w:val="212529"/>
          <w:sz w:val="24"/>
        </w:rPr>
        <w:t>Земельные участки, предназначенные для размещения производственных объектов, расположенные в сельских населенных пунктах Республики Башкортостан.</w:t>
      </w:r>
    </w:p>
    <w:p w:rsidR="00E85D42" w:rsidRDefault="008113B9">
      <w:pPr>
        <w:autoSpaceDE w:val="0"/>
        <w:ind w:firstLine="709"/>
        <w:jc w:val="both"/>
        <w:rPr>
          <w:rFonts w:eastAsia="Calibri"/>
          <w:sz w:val="24"/>
          <w:lang w:eastAsia="en-US"/>
        </w:rPr>
      </w:pPr>
      <w:r>
        <w:rPr>
          <w:rFonts w:eastAsia="Calibri"/>
          <w:sz w:val="24"/>
          <w:lang w:eastAsia="en-US"/>
        </w:rPr>
        <w:t>Факторы, характериз</w:t>
      </w:r>
      <w:r>
        <w:rPr>
          <w:rFonts w:eastAsia="Calibri"/>
          <w:sz w:val="24"/>
          <w:lang w:eastAsia="en-US"/>
        </w:rPr>
        <w:t>ующиеся наибольшим показателем коэффициента корреляции и оказывающие наибольшее влияние на стоимость объектов оценки подгрупп представлены в таблице.</w:t>
      </w:r>
    </w:p>
    <w:p w:rsidR="00E85D42" w:rsidRDefault="00E85D42">
      <w:pPr>
        <w:autoSpaceDE w:val="0"/>
        <w:ind w:firstLine="709"/>
        <w:jc w:val="both"/>
        <w:rPr>
          <w:rFonts w:eastAsia="Calibri"/>
          <w:sz w:val="24"/>
          <w:lang w:eastAsia="en-US"/>
        </w:rPr>
      </w:pPr>
    </w:p>
    <w:p w:rsidR="00E85D42" w:rsidRDefault="008113B9">
      <w:pPr>
        <w:pStyle w:val="Standarduser"/>
        <w:jc w:val="right"/>
      </w:pPr>
      <w:r>
        <w:t>Таблица 3.6.6.1</w:t>
      </w:r>
    </w:p>
    <w:tbl>
      <w:tblPr>
        <w:tblW w:w="5000" w:type="pct"/>
        <w:tblCellMar>
          <w:left w:w="10" w:type="dxa"/>
          <w:right w:w="10" w:type="dxa"/>
        </w:tblCellMar>
        <w:tblLook w:val="04A0" w:firstRow="1" w:lastRow="0" w:firstColumn="1" w:lastColumn="0" w:noHBand="0" w:noVBand="1"/>
      </w:tblPr>
      <w:tblGrid>
        <w:gridCol w:w="3794"/>
        <w:gridCol w:w="4111"/>
        <w:gridCol w:w="1809"/>
      </w:tblGrid>
      <w:tr w:rsidR="00E85D42">
        <w:tblPrEx>
          <w:tblCellMar>
            <w:top w:w="0" w:type="dxa"/>
            <w:bottom w:w="0" w:type="dxa"/>
          </w:tblCellMar>
        </w:tblPrEx>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b/>
                <w:sz w:val="24"/>
                <w:lang w:eastAsia="en-US"/>
              </w:rPr>
            </w:pPr>
            <w:r>
              <w:rPr>
                <w:rFonts w:eastAsia="Calibri"/>
                <w:b/>
                <w:sz w:val="24"/>
                <w:lang w:eastAsia="en-US"/>
              </w:rPr>
              <w:t>Описание подгруппы</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b/>
                <w:sz w:val="24"/>
                <w:lang w:eastAsia="en-US"/>
              </w:rPr>
            </w:pPr>
            <w:r>
              <w:rPr>
                <w:rFonts w:eastAsia="Calibri"/>
                <w:b/>
                <w:sz w:val="24"/>
                <w:lang w:eastAsia="en-US"/>
              </w:rPr>
              <w:t>Факторы, оказывающие наибольшее влияние на стоимость объектов оценки</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b/>
                <w:sz w:val="24"/>
                <w:lang w:eastAsia="en-US"/>
              </w:rPr>
            </w:pPr>
            <w:r>
              <w:rPr>
                <w:rFonts w:eastAsia="Calibri"/>
                <w:b/>
                <w:sz w:val="24"/>
                <w:lang w:eastAsia="en-US"/>
              </w:rPr>
              <w:t>К</w:t>
            </w:r>
            <w:r>
              <w:rPr>
                <w:rFonts w:eastAsia="Calibri"/>
                <w:b/>
                <w:sz w:val="24"/>
                <w:lang w:eastAsia="en-US"/>
              </w:rPr>
              <w:t>орреляция</w:t>
            </w:r>
          </w:p>
        </w:tc>
      </w:tr>
      <w:tr w:rsidR="00E85D42">
        <w:tblPrEx>
          <w:tblCellMar>
            <w:top w:w="0" w:type="dxa"/>
            <w:bottom w:w="0" w:type="dxa"/>
          </w:tblCellMar>
        </w:tblPrEx>
        <w:tc>
          <w:tcPr>
            <w:tcW w:w="37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pPr>
            <w:r>
              <w:rPr>
                <w:color w:val="212529"/>
                <w:sz w:val="24"/>
                <w:szCs w:val="24"/>
              </w:rPr>
              <w:t>Земельные участки, предназначенные для размещения производственных объектов, расположенные в городах Республики Башкортостан</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rPr>
                <w:rFonts w:eastAsia="Calibri"/>
                <w:sz w:val="24"/>
                <w:lang w:eastAsia="en-US"/>
              </w:rPr>
            </w:pPr>
            <w:r>
              <w:rPr>
                <w:rFonts w:eastAsia="Calibri"/>
                <w:sz w:val="24"/>
                <w:lang w:eastAsia="en-US"/>
              </w:rPr>
              <w:t>Обеспеченность инженерными коммуникациями (газоснабжение)</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sz w:val="24"/>
                <w:lang w:eastAsia="en-US"/>
              </w:rPr>
            </w:pPr>
            <w:r>
              <w:rPr>
                <w:rFonts w:eastAsia="Calibri"/>
                <w:sz w:val="24"/>
                <w:lang w:eastAsia="en-US"/>
              </w:rPr>
              <w:t>0,73</w:t>
            </w:r>
          </w:p>
        </w:tc>
      </w:tr>
      <w:tr w:rsidR="00E85D42">
        <w:tblPrEx>
          <w:tblCellMar>
            <w:top w:w="0" w:type="dxa"/>
            <w:bottom w:w="0" w:type="dxa"/>
          </w:tblCellMar>
        </w:tblPrEx>
        <w:tc>
          <w:tcPr>
            <w:tcW w:w="37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autoSpaceDE w:val="0"/>
              <w:rPr>
                <w:rFonts w:eastAsia="Calibri"/>
                <w:sz w:val="24"/>
                <w:lang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rPr>
                <w:rFonts w:eastAsia="Calibri"/>
                <w:sz w:val="24"/>
                <w:lang w:eastAsia="en-US"/>
              </w:rPr>
            </w:pPr>
            <w:r>
              <w:rPr>
                <w:rFonts w:eastAsia="Calibri"/>
                <w:sz w:val="24"/>
                <w:lang w:eastAsia="en-US"/>
              </w:rPr>
              <w:t>Численность населения в МР, ГО</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sz w:val="24"/>
                <w:lang w:eastAsia="en-US"/>
              </w:rPr>
            </w:pPr>
            <w:r>
              <w:rPr>
                <w:rFonts w:eastAsia="Calibri"/>
                <w:sz w:val="24"/>
                <w:lang w:eastAsia="en-US"/>
              </w:rPr>
              <w:t>0,75</w:t>
            </w:r>
          </w:p>
        </w:tc>
      </w:tr>
      <w:tr w:rsidR="00E85D42">
        <w:tblPrEx>
          <w:tblCellMar>
            <w:top w:w="0" w:type="dxa"/>
            <w:bottom w:w="0" w:type="dxa"/>
          </w:tblCellMar>
        </w:tblPrEx>
        <w:tc>
          <w:tcPr>
            <w:tcW w:w="37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pPr>
            <w:r>
              <w:rPr>
                <w:color w:val="212529"/>
                <w:sz w:val="24"/>
                <w:szCs w:val="24"/>
              </w:rPr>
              <w:t>Земельные участки,</w:t>
            </w:r>
            <w:r>
              <w:rPr>
                <w:color w:val="212529"/>
                <w:sz w:val="24"/>
                <w:szCs w:val="24"/>
              </w:rPr>
              <w:t xml:space="preserve"> предназначенные для размещения производственных объектов, расположенные в сельских населенных пунктах Республики Башкортостан</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rPr>
                <w:rFonts w:eastAsia="Calibri"/>
                <w:sz w:val="24"/>
                <w:lang w:eastAsia="en-US"/>
              </w:rPr>
            </w:pPr>
            <w:r>
              <w:rPr>
                <w:rFonts w:eastAsia="Calibri"/>
                <w:sz w:val="24"/>
                <w:lang w:eastAsia="en-US"/>
              </w:rPr>
              <w:t>Вид деятельности,</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sz w:val="24"/>
                <w:lang w:eastAsia="en-US"/>
              </w:rPr>
            </w:pPr>
            <w:r>
              <w:rPr>
                <w:rFonts w:eastAsia="Calibri"/>
                <w:sz w:val="24"/>
                <w:lang w:eastAsia="en-US"/>
              </w:rPr>
              <w:t>0,78</w:t>
            </w:r>
          </w:p>
        </w:tc>
      </w:tr>
      <w:tr w:rsidR="00E85D42">
        <w:tblPrEx>
          <w:tblCellMar>
            <w:top w:w="0" w:type="dxa"/>
            <w:bottom w:w="0" w:type="dxa"/>
          </w:tblCellMar>
        </w:tblPrEx>
        <w:tc>
          <w:tcPr>
            <w:tcW w:w="37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autoSpaceDE w:val="0"/>
              <w:jc w:val="center"/>
              <w:rPr>
                <w:rFonts w:eastAsia="Calibri"/>
                <w:sz w:val="24"/>
                <w:lang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rPr>
                <w:rFonts w:eastAsia="Calibri"/>
                <w:sz w:val="24"/>
                <w:lang w:eastAsia="en-US"/>
              </w:rPr>
            </w:pPr>
            <w:r>
              <w:rPr>
                <w:rFonts w:eastAsia="Calibri"/>
                <w:sz w:val="24"/>
                <w:lang w:eastAsia="en-US"/>
              </w:rPr>
              <w:t>Статус НП (по Лейферу)</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sz w:val="24"/>
                <w:lang w:eastAsia="en-US"/>
              </w:rPr>
            </w:pPr>
            <w:r>
              <w:rPr>
                <w:rFonts w:eastAsia="Calibri"/>
                <w:sz w:val="24"/>
                <w:lang w:eastAsia="en-US"/>
              </w:rPr>
              <w:t>0,88</w:t>
            </w:r>
          </w:p>
        </w:tc>
      </w:tr>
      <w:tr w:rsidR="00E85D42">
        <w:tblPrEx>
          <w:tblCellMar>
            <w:top w:w="0" w:type="dxa"/>
            <w:bottom w:w="0" w:type="dxa"/>
          </w:tblCellMar>
        </w:tblPrEx>
        <w:tc>
          <w:tcPr>
            <w:tcW w:w="37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pPr>
            <w:r>
              <w:rPr>
                <w:color w:val="212529"/>
                <w:sz w:val="24"/>
                <w:szCs w:val="24"/>
              </w:rPr>
              <w:t xml:space="preserve">Земельные участки, предназначенные для размещения производственных </w:t>
            </w:r>
            <w:r>
              <w:rPr>
                <w:color w:val="212529"/>
                <w:sz w:val="24"/>
                <w:szCs w:val="24"/>
              </w:rPr>
              <w:t>объектов, расположенные в г. Уфа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rPr>
                <w:rFonts w:eastAsia="Calibri"/>
                <w:sz w:val="24"/>
                <w:lang w:eastAsia="en-US"/>
              </w:rPr>
            </w:pPr>
            <w:r>
              <w:rPr>
                <w:rFonts w:eastAsia="Calibri"/>
                <w:sz w:val="24"/>
                <w:lang w:eastAsia="en-US"/>
              </w:rPr>
              <w:t>Расстояние до административного центра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sz w:val="24"/>
                <w:lang w:eastAsia="en-US"/>
              </w:rPr>
            </w:pPr>
            <w:r>
              <w:rPr>
                <w:rFonts w:eastAsia="Calibri"/>
                <w:sz w:val="24"/>
                <w:lang w:eastAsia="en-US"/>
              </w:rPr>
              <w:t>0,74</w:t>
            </w:r>
          </w:p>
        </w:tc>
      </w:tr>
      <w:tr w:rsidR="00E85D42">
        <w:tblPrEx>
          <w:tblCellMar>
            <w:top w:w="0" w:type="dxa"/>
            <w:bottom w:w="0" w:type="dxa"/>
          </w:tblCellMar>
        </w:tblPrEx>
        <w:tc>
          <w:tcPr>
            <w:tcW w:w="37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autoSpaceDE w:val="0"/>
              <w:jc w:val="both"/>
              <w:rPr>
                <w:rFonts w:eastAsia="Calibri"/>
                <w:sz w:val="24"/>
                <w:lang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rPr>
                <w:rFonts w:eastAsia="Calibri"/>
                <w:sz w:val="24"/>
                <w:lang w:eastAsia="en-US"/>
              </w:rPr>
            </w:pPr>
            <w:r>
              <w:rPr>
                <w:rFonts w:eastAsia="Calibri"/>
                <w:sz w:val="24"/>
                <w:lang w:eastAsia="en-US"/>
              </w:rPr>
              <w:t>Расстояние до историко-культурного центра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sz w:val="24"/>
                <w:lang w:eastAsia="en-US"/>
              </w:rPr>
            </w:pPr>
            <w:r>
              <w:rPr>
                <w:rFonts w:eastAsia="Calibri"/>
                <w:sz w:val="24"/>
                <w:lang w:eastAsia="en-US"/>
              </w:rPr>
              <w:t>0,89</w:t>
            </w:r>
          </w:p>
        </w:tc>
      </w:tr>
    </w:tbl>
    <w:p w:rsidR="00E85D42" w:rsidRDefault="00E85D42">
      <w:pPr>
        <w:autoSpaceDE w:val="0"/>
        <w:ind w:firstLine="709"/>
        <w:jc w:val="both"/>
        <w:rPr>
          <w:rFonts w:eastAsia="Calibri"/>
          <w:sz w:val="24"/>
          <w:lang w:eastAsia="en-US"/>
        </w:rPr>
      </w:pPr>
    </w:p>
    <w:p w:rsidR="00E85D42" w:rsidRDefault="008113B9">
      <w:pPr>
        <w:autoSpaceDE w:val="0"/>
        <w:ind w:firstLine="709"/>
        <w:jc w:val="both"/>
        <w:rPr>
          <w:rFonts w:eastAsia="Calibri"/>
          <w:sz w:val="24"/>
          <w:lang w:eastAsia="en-US"/>
        </w:rPr>
      </w:pPr>
      <w:r>
        <w:rPr>
          <w:rFonts w:eastAsia="Calibri"/>
          <w:sz w:val="24"/>
          <w:lang w:eastAsia="en-US"/>
        </w:rPr>
        <w:t xml:space="preserve">Источники информации, используемые в сборе сведений о значениях ценообразующих факторов приведены п.п. 3.1.7 настоящего Отчета. </w:t>
      </w:r>
    </w:p>
    <w:p w:rsidR="00E85D42" w:rsidRDefault="008113B9">
      <w:pPr>
        <w:autoSpaceDE w:val="0"/>
        <w:ind w:firstLine="720"/>
        <w:jc w:val="both"/>
        <w:rPr>
          <w:rFonts w:eastAsia="Calibri"/>
          <w:sz w:val="24"/>
          <w:lang w:eastAsia="en-US"/>
        </w:rPr>
      </w:pPr>
      <w:r>
        <w:rPr>
          <w:rFonts w:eastAsia="Calibri"/>
          <w:sz w:val="24"/>
          <w:lang w:eastAsia="en-US"/>
        </w:rPr>
        <w:t>Перечень земельных участков, отнесенных ко второй подгруппе Сегмента 6, описанных в разрезе ценообразующих факторов, приводится по форме Таблицы «Объекты оценки ГНП_Расчет_Города РБ » Приложения 2 –«Расчет Моделирование»</w:t>
      </w:r>
    </w:p>
    <w:p w:rsidR="00E85D42" w:rsidRDefault="008113B9">
      <w:pPr>
        <w:autoSpaceDE w:val="0"/>
        <w:ind w:firstLine="567"/>
        <w:jc w:val="both"/>
        <w:rPr>
          <w:rFonts w:eastAsia="Calibri"/>
          <w:color w:val="000000"/>
          <w:sz w:val="24"/>
          <w:lang w:eastAsia="en-US"/>
        </w:rPr>
      </w:pPr>
      <w:r>
        <w:rPr>
          <w:rFonts w:eastAsia="Calibri"/>
          <w:color w:val="000000"/>
          <w:sz w:val="24"/>
          <w:lang w:eastAsia="en-US"/>
        </w:rPr>
        <w:t xml:space="preserve">  Процесс сбора рыночной информаци</w:t>
      </w:r>
      <w:r>
        <w:rPr>
          <w:rFonts w:eastAsia="Calibri"/>
          <w:color w:val="000000"/>
          <w:sz w:val="24"/>
          <w:lang w:eastAsia="en-US"/>
        </w:rPr>
        <w:t>и, а также сведения об источниках, описаны в гл.3 пункт 3.1.5 Анализ информации о рынке недвижимости земельных участков Республики Башкортостан.</w:t>
      </w:r>
    </w:p>
    <w:p w:rsidR="00E85D42" w:rsidRDefault="008113B9">
      <w:pPr>
        <w:autoSpaceDE w:val="0"/>
        <w:ind w:firstLine="720"/>
        <w:jc w:val="both"/>
        <w:rPr>
          <w:rFonts w:eastAsia="Calibri"/>
          <w:sz w:val="24"/>
          <w:lang w:eastAsia="en-US"/>
        </w:rPr>
      </w:pPr>
      <w:r>
        <w:rPr>
          <w:rFonts w:eastAsia="Calibri"/>
          <w:sz w:val="24"/>
          <w:lang w:eastAsia="en-US"/>
        </w:rPr>
        <w:t>Для расчета были использованы данные о предложениях/сделках объектов недвижимости сегмента рынка, к которому пр</w:t>
      </w:r>
      <w:r>
        <w:rPr>
          <w:rFonts w:eastAsia="Calibri"/>
          <w:sz w:val="24"/>
          <w:lang w:eastAsia="en-US"/>
        </w:rPr>
        <w:t xml:space="preserve">инадлежат объекты оценки - земельные участки (в том числе застроенные) под объекты производственного (в т.ч. сельскохозяйственного производства) и складского назначения, расположенные на территории городских населенных пунктов республики Башкортостан. </w:t>
      </w:r>
    </w:p>
    <w:p w:rsidR="00E85D42" w:rsidRDefault="008113B9">
      <w:pPr>
        <w:autoSpaceDE w:val="0"/>
        <w:ind w:firstLine="720"/>
        <w:jc w:val="both"/>
        <w:rPr>
          <w:rFonts w:eastAsia="Calibri"/>
          <w:sz w:val="24"/>
          <w:lang w:eastAsia="en-US"/>
        </w:rPr>
      </w:pPr>
      <w:r>
        <w:rPr>
          <w:rFonts w:eastAsia="Calibri"/>
          <w:sz w:val="24"/>
          <w:lang w:eastAsia="en-US"/>
        </w:rPr>
        <w:t>Исх</w:t>
      </w:r>
      <w:r>
        <w:rPr>
          <w:rFonts w:eastAsia="Calibri"/>
          <w:sz w:val="24"/>
          <w:lang w:eastAsia="en-US"/>
        </w:rPr>
        <w:t>одная рыночная информация, используемая в расчетах, а также сведения об используемых источниках представлена в файле «Исходная рыночная информация 6.2» Приложения 1.8.</w:t>
      </w:r>
    </w:p>
    <w:p w:rsidR="00E85D42" w:rsidRDefault="008113B9">
      <w:pPr>
        <w:autoSpaceDE w:val="0"/>
        <w:ind w:firstLine="720"/>
        <w:jc w:val="both"/>
        <w:rPr>
          <w:rFonts w:eastAsia="Calibri"/>
          <w:sz w:val="24"/>
          <w:lang w:eastAsia="en-US"/>
        </w:rPr>
      </w:pPr>
      <w:r>
        <w:rPr>
          <w:rFonts w:eastAsia="Calibri"/>
          <w:sz w:val="24"/>
          <w:lang w:eastAsia="en-US"/>
        </w:rPr>
        <w:t>Описание используемых поправок в цены объектов-аналогов, обоснование их значений, а такж</w:t>
      </w:r>
      <w:r>
        <w:rPr>
          <w:rFonts w:eastAsia="Calibri"/>
          <w:sz w:val="24"/>
          <w:lang w:eastAsia="en-US"/>
        </w:rPr>
        <w:t>е описание порядка их применения приведено в разделе 3.2. Отчета</w:t>
      </w:r>
    </w:p>
    <w:p w:rsidR="00E85D42" w:rsidRDefault="008113B9">
      <w:pPr>
        <w:autoSpaceDE w:val="0"/>
        <w:ind w:firstLine="720"/>
        <w:jc w:val="both"/>
        <w:rPr>
          <w:rFonts w:eastAsia="Calibri"/>
          <w:sz w:val="24"/>
          <w:lang w:eastAsia="en-US"/>
        </w:rPr>
      </w:pPr>
      <w:r>
        <w:rPr>
          <w:rFonts w:eastAsia="Calibri"/>
          <w:sz w:val="24"/>
          <w:lang w:eastAsia="en-US"/>
        </w:rPr>
        <w:t xml:space="preserve">Все объекты-аналоги по фактору «Тип населенного пункта» были распределены и использованы в расчете стоимости земельных участков соответствующих подгрупп. </w:t>
      </w:r>
    </w:p>
    <w:p w:rsidR="00E85D42" w:rsidRDefault="00E85D42">
      <w:pPr>
        <w:autoSpaceDE w:val="0"/>
        <w:ind w:firstLine="720"/>
        <w:jc w:val="both"/>
        <w:rPr>
          <w:rFonts w:eastAsia="Calibri"/>
          <w:sz w:val="24"/>
          <w:lang w:eastAsia="en-US"/>
        </w:rPr>
      </w:pPr>
    </w:p>
    <w:p w:rsidR="00E85D42" w:rsidRDefault="008113B9">
      <w:pPr>
        <w:pStyle w:val="Standarduser"/>
        <w:tabs>
          <w:tab w:val="left" w:pos="1134"/>
        </w:tabs>
        <w:spacing w:before="120" w:line="288" w:lineRule="auto"/>
        <w:ind w:firstLine="709"/>
        <w:jc w:val="both"/>
      </w:pPr>
      <w:r>
        <w:t>Для расчета</w:t>
      </w:r>
      <w:r>
        <w:rPr>
          <w:b/>
        </w:rPr>
        <w:t xml:space="preserve"> земельных участков, </w:t>
      </w:r>
      <w:r>
        <w:rPr>
          <w:b/>
        </w:rPr>
        <w:t xml:space="preserve">предназначенных для размещения </w:t>
      </w:r>
      <w:r>
        <w:rPr>
          <w:b/>
          <w:color w:val="212529"/>
        </w:rPr>
        <w:t>производственных объектов, расположенных в г. Уфа</w:t>
      </w:r>
      <w:r>
        <w:t xml:space="preserve"> выбрана </w:t>
      </w:r>
      <w:r>
        <w:rPr>
          <w:b/>
        </w:rPr>
        <w:t>экспоненциальная модель.</w:t>
      </w:r>
    </w:p>
    <w:p w:rsidR="00E85D42" w:rsidRDefault="008113B9">
      <w:pPr>
        <w:pStyle w:val="Standarduser"/>
        <w:jc w:val="right"/>
      </w:pPr>
      <w:r>
        <w:t>Таблица 3.6.6.2</w:t>
      </w:r>
    </w:p>
    <w:tbl>
      <w:tblPr>
        <w:tblW w:w="8728" w:type="dxa"/>
        <w:jc w:val="center"/>
        <w:tblCellMar>
          <w:left w:w="10" w:type="dxa"/>
          <w:right w:w="10" w:type="dxa"/>
        </w:tblCellMar>
        <w:tblLook w:val="04A0" w:firstRow="1" w:lastRow="0" w:firstColumn="1" w:lastColumn="0" w:noHBand="0" w:noVBand="1"/>
      </w:tblPr>
      <w:tblGrid>
        <w:gridCol w:w="2479"/>
        <w:gridCol w:w="808"/>
        <w:gridCol w:w="5441"/>
      </w:tblGrid>
      <w:tr w:rsidR="00E85D42">
        <w:tblPrEx>
          <w:tblCellMar>
            <w:top w:w="0" w:type="dxa"/>
            <w:bottom w:w="0" w:type="dxa"/>
          </w:tblCellMar>
        </w:tblPrEx>
        <w:trPr>
          <w:trHeight w:val="645"/>
          <w:jc w:val="center"/>
        </w:trPr>
        <w:tc>
          <w:tcPr>
            <w:tcW w:w="2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Ценообразующий фактор</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 xml:space="preserve">№ </w:t>
            </w:r>
          </w:p>
        </w:tc>
        <w:tc>
          <w:tcPr>
            <w:tcW w:w="54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center"/>
              <w:rPr>
                <w:b/>
                <w:sz w:val="20"/>
                <w:szCs w:val="20"/>
              </w:rPr>
            </w:pPr>
            <w:r>
              <w:rPr>
                <w:b/>
                <w:sz w:val="20"/>
                <w:szCs w:val="20"/>
              </w:rPr>
              <w:t>Формула для расчета</w:t>
            </w:r>
          </w:p>
          <w:p w:rsidR="00E85D42" w:rsidRDefault="008113B9">
            <w:pPr>
              <w:pStyle w:val="Standarduser"/>
              <w:tabs>
                <w:tab w:val="left" w:pos="1134"/>
              </w:tabs>
              <w:spacing w:before="120" w:line="288" w:lineRule="auto"/>
              <w:jc w:val="both"/>
            </w:pPr>
            <w:r>
              <w:rPr>
                <w:sz w:val="20"/>
                <w:szCs w:val="20"/>
              </w:rPr>
              <w:t>Y = 236.6460475118462 * e</w:t>
            </w:r>
            <w:r>
              <w:rPr>
                <w:sz w:val="20"/>
                <w:szCs w:val="20"/>
                <w:vertAlign w:val="superscript"/>
              </w:rPr>
              <w:t>0.7730503688589603 * F0 + 0.5267671175892297 * F1</w:t>
            </w:r>
          </w:p>
        </w:tc>
      </w:tr>
      <w:tr w:rsidR="00E85D42">
        <w:tblPrEx>
          <w:tblCellMar>
            <w:top w:w="0" w:type="dxa"/>
            <w:bottom w:w="0" w:type="dxa"/>
          </w:tblCellMar>
        </w:tblPrEx>
        <w:trPr>
          <w:trHeight w:val="495"/>
          <w:jc w:val="center"/>
        </w:trPr>
        <w:tc>
          <w:tcPr>
            <w:tcW w:w="2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autoSpaceDE w:val="0"/>
              <w:jc w:val="both"/>
              <w:rPr>
                <w:rFonts w:eastAsia="Calibri"/>
                <w:sz w:val="24"/>
                <w:lang w:eastAsia="en-US"/>
              </w:rPr>
            </w:pPr>
            <w:r>
              <w:rPr>
                <w:rFonts w:eastAsia="Calibri"/>
                <w:sz w:val="24"/>
                <w:lang w:eastAsia="en-US"/>
              </w:rPr>
              <w:t>Расстояние до административного центра</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0</w:t>
            </w:r>
          </w:p>
        </w:tc>
        <w:tc>
          <w:tcPr>
            <w:tcW w:w="54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10590.031055555555 / (5091.269800000001 + X0)</w:t>
            </w:r>
          </w:p>
        </w:tc>
      </w:tr>
      <w:tr w:rsidR="00E85D42">
        <w:tblPrEx>
          <w:tblCellMar>
            <w:top w:w="0" w:type="dxa"/>
            <w:bottom w:w="0" w:type="dxa"/>
          </w:tblCellMar>
        </w:tblPrEx>
        <w:trPr>
          <w:trHeight w:val="495"/>
          <w:jc w:val="center"/>
        </w:trPr>
        <w:tc>
          <w:tcPr>
            <w:tcW w:w="2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autoSpaceDE w:val="0"/>
              <w:jc w:val="both"/>
              <w:rPr>
                <w:rFonts w:eastAsia="Calibri"/>
                <w:sz w:val="24"/>
                <w:lang w:eastAsia="en-US"/>
              </w:rPr>
            </w:pPr>
            <w:r>
              <w:rPr>
                <w:rFonts w:eastAsia="Calibri"/>
                <w:sz w:val="24"/>
                <w:lang w:eastAsia="en-US"/>
              </w:rPr>
              <w:t>Расстояние до историко-культурного центра</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1</w:t>
            </w:r>
          </w:p>
        </w:tc>
        <w:tc>
          <w:tcPr>
            <w:tcW w:w="54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13470.342222222222 / (4224.784 + X1)</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3.6.6.3</w:t>
      </w:r>
    </w:p>
    <w:tbl>
      <w:tblPr>
        <w:tblW w:w="9528" w:type="dxa"/>
        <w:tblCellMar>
          <w:left w:w="10" w:type="dxa"/>
          <w:right w:w="10" w:type="dxa"/>
        </w:tblCellMar>
        <w:tblLook w:val="04A0" w:firstRow="1" w:lastRow="0" w:firstColumn="1" w:lastColumn="0" w:noHBand="0" w:noVBand="1"/>
      </w:tblPr>
      <w:tblGrid>
        <w:gridCol w:w="1701"/>
        <w:gridCol w:w="1134"/>
        <w:gridCol w:w="1050"/>
        <w:gridCol w:w="1137"/>
        <w:gridCol w:w="1067"/>
        <w:gridCol w:w="1155"/>
        <w:gridCol w:w="1097"/>
        <w:gridCol w:w="1187"/>
      </w:tblGrid>
      <w:tr w:rsidR="00E85D42">
        <w:tblPrEx>
          <w:tblCellMar>
            <w:top w:w="0" w:type="dxa"/>
            <w:bottom w:w="0" w:type="dxa"/>
          </w:tblCellMar>
        </w:tblPrEx>
        <w:trPr>
          <w:tblHeader/>
        </w:trPr>
        <w:tc>
          <w:tcPr>
            <w:tcW w:w="170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134"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w:t>
            </w:r>
            <w:r>
              <w:rPr>
                <w:b/>
                <w:bCs/>
                <w:color w:val="212529"/>
              </w:rPr>
              <w:t xml:space="preserve">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284"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134"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6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55"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9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8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134"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25.78318</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0.19652</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0.0073</w:t>
            </w:r>
          </w:p>
        </w:tc>
        <w:tc>
          <w:tcPr>
            <w:tcW w:w="106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0.95202</w:t>
            </w:r>
          </w:p>
        </w:tc>
        <w:tc>
          <w:tcPr>
            <w:tcW w:w="1155"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0.90825</w:t>
            </w:r>
          </w:p>
        </w:tc>
        <w:tc>
          <w:tcPr>
            <w:tcW w:w="109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0.11998</w:t>
            </w:r>
          </w:p>
        </w:tc>
        <w:tc>
          <w:tcPr>
            <w:tcW w:w="118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0.11924</w:t>
            </w:r>
          </w:p>
        </w:tc>
      </w:tr>
    </w:tbl>
    <w:p w:rsidR="00E85D42" w:rsidRDefault="00E85D42">
      <w:pPr>
        <w:autoSpaceDE w:val="0"/>
        <w:ind w:firstLine="567"/>
        <w:jc w:val="both"/>
        <w:rPr>
          <w:rFonts w:eastAsia="Calibri"/>
          <w:sz w:val="24"/>
          <w:lang w:eastAsia="en-US"/>
        </w:rPr>
      </w:pPr>
    </w:p>
    <w:p w:rsidR="00E85D42" w:rsidRDefault="008113B9">
      <w:pPr>
        <w:pStyle w:val="Standarduser"/>
        <w:tabs>
          <w:tab w:val="left" w:pos="1134"/>
        </w:tabs>
        <w:spacing w:before="120" w:line="288" w:lineRule="auto"/>
        <w:ind w:firstLine="709"/>
        <w:jc w:val="both"/>
      </w:pPr>
      <w:r>
        <w:t>Для расчета</w:t>
      </w:r>
      <w:r>
        <w:rPr>
          <w:b/>
        </w:rPr>
        <w:t xml:space="preserve"> </w:t>
      </w:r>
      <w:r>
        <w:rPr>
          <w:b/>
        </w:rPr>
        <w:t xml:space="preserve">земельных участков, предназначенных для размещения </w:t>
      </w:r>
      <w:r>
        <w:rPr>
          <w:b/>
          <w:color w:val="212529"/>
        </w:rPr>
        <w:t>производственных объектов, расположенных в городах Республики Башкортостан (кроме г. Уфа)</w:t>
      </w:r>
      <w:r>
        <w:t xml:space="preserve"> выбрана </w:t>
      </w:r>
      <w:r>
        <w:rPr>
          <w:b/>
        </w:rPr>
        <w:t>экспоненциальная модель.</w:t>
      </w:r>
    </w:p>
    <w:p w:rsidR="00E85D42" w:rsidRDefault="00E85D42">
      <w:pPr>
        <w:pStyle w:val="Standarduser"/>
        <w:jc w:val="right"/>
      </w:pPr>
    </w:p>
    <w:p w:rsidR="00E85D42" w:rsidRDefault="008113B9">
      <w:pPr>
        <w:pStyle w:val="Standarduser"/>
        <w:jc w:val="right"/>
      </w:pPr>
      <w:r>
        <w:t>Таблица 3.6.6.4</w:t>
      </w:r>
    </w:p>
    <w:tbl>
      <w:tblPr>
        <w:tblW w:w="8960" w:type="dxa"/>
        <w:jc w:val="center"/>
        <w:tblCellMar>
          <w:left w:w="10" w:type="dxa"/>
          <w:right w:w="10" w:type="dxa"/>
        </w:tblCellMar>
        <w:tblLook w:val="04A0" w:firstRow="1" w:lastRow="0" w:firstColumn="1" w:lastColumn="0" w:noHBand="0" w:noVBand="1"/>
      </w:tblPr>
      <w:tblGrid>
        <w:gridCol w:w="2479"/>
        <w:gridCol w:w="808"/>
        <w:gridCol w:w="5673"/>
      </w:tblGrid>
      <w:tr w:rsidR="00E85D42">
        <w:tblPrEx>
          <w:tblCellMar>
            <w:top w:w="0" w:type="dxa"/>
            <w:bottom w:w="0" w:type="dxa"/>
          </w:tblCellMar>
        </w:tblPrEx>
        <w:trPr>
          <w:trHeight w:val="645"/>
          <w:jc w:val="center"/>
        </w:trPr>
        <w:tc>
          <w:tcPr>
            <w:tcW w:w="2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Ценообразующий фактор</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 xml:space="preserve">№ </w:t>
            </w:r>
          </w:p>
        </w:tc>
        <w:tc>
          <w:tcPr>
            <w:tcW w:w="56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center"/>
              <w:rPr>
                <w:b/>
                <w:sz w:val="20"/>
                <w:szCs w:val="20"/>
              </w:rPr>
            </w:pPr>
            <w:r>
              <w:rPr>
                <w:b/>
                <w:sz w:val="20"/>
                <w:szCs w:val="20"/>
              </w:rPr>
              <w:t>Формула для расчета</w:t>
            </w:r>
          </w:p>
          <w:p w:rsidR="00E85D42" w:rsidRDefault="008113B9">
            <w:pPr>
              <w:pStyle w:val="Standarduser"/>
              <w:tabs>
                <w:tab w:val="left" w:pos="1134"/>
              </w:tabs>
              <w:spacing w:before="120" w:line="288" w:lineRule="auto"/>
              <w:jc w:val="both"/>
            </w:pPr>
            <w:r>
              <w:rPr>
                <w:sz w:val="20"/>
                <w:szCs w:val="20"/>
              </w:rPr>
              <w:t xml:space="preserve">Y = </w:t>
            </w:r>
            <w:r>
              <w:rPr>
                <w:sz w:val="20"/>
                <w:szCs w:val="20"/>
              </w:rPr>
              <w:t>48.422273749704615 * e</w:t>
            </w:r>
            <w:r>
              <w:rPr>
                <w:sz w:val="20"/>
                <w:szCs w:val="20"/>
                <w:vertAlign w:val="superscript"/>
              </w:rPr>
              <w:t xml:space="preserve">0.8481177617725775 * </w:t>
            </w:r>
            <w:r>
              <w:rPr>
                <w:sz w:val="20"/>
                <w:szCs w:val="20"/>
                <w:vertAlign w:val="superscript"/>
                <w:lang w:val="en-US"/>
              </w:rPr>
              <w:t>F</w:t>
            </w:r>
            <w:r>
              <w:rPr>
                <w:sz w:val="20"/>
                <w:szCs w:val="20"/>
                <w:vertAlign w:val="superscript"/>
              </w:rPr>
              <w:t xml:space="preserve"> 0 + 0.36804637171191534 * </w:t>
            </w:r>
            <w:r>
              <w:rPr>
                <w:sz w:val="20"/>
                <w:szCs w:val="20"/>
                <w:vertAlign w:val="superscript"/>
                <w:lang w:val="en-US"/>
              </w:rPr>
              <w:t>F</w:t>
            </w:r>
            <w:r>
              <w:rPr>
                <w:sz w:val="20"/>
                <w:szCs w:val="20"/>
                <w:vertAlign w:val="superscript"/>
              </w:rPr>
              <w:t xml:space="preserve"> 1</w:t>
            </w:r>
          </w:p>
        </w:tc>
      </w:tr>
      <w:tr w:rsidR="00E85D42">
        <w:tblPrEx>
          <w:tblCellMar>
            <w:top w:w="0" w:type="dxa"/>
            <w:bottom w:w="0" w:type="dxa"/>
          </w:tblCellMar>
        </w:tblPrEx>
        <w:trPr>
          <w:trHeight w:val="495"/>
          <w:jc w:val="center"/>
        </w:trPr>
        <w:tc>
          <w:tcPr>
            <w:tcW w:w="2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autoSpaceDE w:val="0"/>
              <w:jc w:val="both"/>
              <w:rPr>
                <w:rFonts w:eastAsia="Calibri"/>
                <w:sz w:val="24"/>
                <w:lang w:eastAsia="en-US"/>
              </w:rPr>
            </w:pPr>
            <w:r>
              <w:rPr>
                <w:rFonts w:eastAsia="Calibri"/>
                <w:sz w:val="24"/>
                <w:lang w:eastAsia="en-US"/>
              </w:rPr>
              <w:t>Обеспеченность инженерными коммуникациями (газоснабжение)</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0</w:t>
            </w:r>
          </w:p>
        </w:tc>
        <w:tc>
          <w:tcPr>
            <w:tcW w:w="56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Да -1.4968930410416257</w:t>
            </w:r>
          </w:p>
          <w:p w:rsidR="00E85D42" w:rsidRDefault="008113B9">
            <w:pPr>
              <w:pStyle w:val="Standarduser"/>
              <w:tabs>
                <w:tab w:val="left" w:pos="1134"/>
              </w:tabs>
              <w:spacing w:before="120" w:line="288" w:lineRule="auto"/>
              <w:jc w:val="both"/>
              <w:rPr>
                <w:sz w:val="20"/>
                <w:szCs w:val="20"/>
              </w:rPr>
            </w:pPr>
            <w:r>
              <w:rPr>
                <w:sz w:val="20"/>
                <w:szCs w:val="20"/>
              </w:rPr>
              <w:t>Нет-0.5031069589583744</w:t>
            </w:r>
          </w:p>
        </w:tc>
      </w:tr>
      <w:tr w:rsidR="00E85D42">
        <w:tblPrEx>
          <w:tblCellMar>
            <w:top w:w="0" w:type="dxa"/>
            <w:bottom w:w="0" w:type="dxa"/>
          </w:tblCellMar>
        </w:tblPrEx>
        <w:trPr>
          <w:trHeight w:val="495"/>
          <w:jc w:val="center"/>
        </w:trPr>
        <w:tc>
          <w:tcPr>
            <w:tcW w:w="2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autoSpaceDE w:val="0"/>
              <w:jc w:val="both"/>
              <w:rPr>
                <w:rFonts w:eastAsia="Calibri"/>
                <w:sz w:val="24"/>
                <w:lang w:eastAsia="en-US"/>
              </w:rPr>
            </w:pPr>
            <w:r>
              <w:rPr>
                <w:rFonts w:eastAsia="Calibri"/>
                <w:sz w:val="24"/>
                <w:lang w:eastAsia="en-US"/>
              </w:rPr>
              <w:t>Численность населения в МР, ГО</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1</w:t>
            </w:r>
          </w:p>
        </w:tc>
        <w:tc>
          <w:tcPr>
            <w:tcW w:w="56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(65778.2 + X1) / 80828.70833333334</w:t>
            </w:r>
          </w:p>
        </w:tc>
      </w:tr>
    </w:tbl>
    <w:p w:rsidR="00E85D42" w:rsidRDefault="008113B9">
      <w:pPr>
        <w:pStyle w:val="Standarduser"/>
        <w:jc w:val="both"/>
      </w:pPr>
      <w:r>
        <w:t>Далее в таблице приведен анализ качества модели:</w:t>
      </w:r>
    </w:p>
    <w:p w:rsidR="00E85D42" w:rsidRDefault="00E85D42">
      <w:pPr>
        <w:pStyle w:val="Standarduser"/>
        <w:jc w:val="right"/>
      </w:pPr>
    </w:p>
    <w:p w:rsidR="00E85D42" w:rsidRDefault="00E85D42">
      <w:pPr>
        <w:pStyle w:val="Standarduser"/>
        <w:jc w:val="right"/>
      </w:pPr>
    </w:p>
    <w:p w:rsidR="00E85D42" w:rsidRDefault="008113B9">
      <w:pPr>
        <w:pStyle w:val="Standarduser"/>
        <w:jc w:val="right"/>
      </w:pPr>
      <w:r>
        <w:t>Таблица 3.6.6.5</w:t>
      </w:r>
    </w:p>
    <w:tbl>
      <w:tblPr>
        <w:tblW w:w="9528" w:type="dxa"/>
        <w:tblCellMar>
          <w:left w:w="10" w:type="dxa"/>
          <w:right w:w="10" w:type="dxa"/>
        </w:tblCellMar>
        <w:tblLook w:val="04A0" w:firstRow="1" w:lastRow="0" w:firstColumn="1" w:lastColumn="0" w:noHBand="0" w:noVBand="1"/>
      </w:tblPr>
      <w:tblGrid>
        <w:gridCol w:w="1737"/>
        <w:gridCol w:w="1023"/>
        <w:gridCol w:w="1050"/>
        <w:gridCol w:w="1137"/>
        <w:gridCol w:w="1076"/>
        <w:gridCol w:w="1166"/>
        <w:gridCol w:w="1123"/>
        <w:gridCol w:w="1216"/>
      </w:tblGrid>
      <w:tr w:rsidR="00E85D42">
        <w:tblPrEx>
          <w:tblCellMar>
            <w:top w:w="0" w:type="dxa"/>
            <w:bottom w:w="0" w:type="dxa"/>
          </w:tblCellMar>
        </w:tblPrEx>
        <w:trPr>
          <w:tblHeader/>
        </w:trPr>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7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6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23.92956</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0.12302</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0.99415</w:t>
            </w:r>
          </w:p>
        </w:tc>
        <w:tc>
          <w:tcPr>
            <w:tcW w:w="107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0.72464</w:t>
            </w:r>
          </w:p>
        </w:tc>
        <w:tc>
          <w:tcPr>
            <w:tcW w:w="116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0.61713</w:t>
            </w:r>
          </w:p>
        </w:tc>
        <w:tc>
          <w:tcPr>
            <w:tcW w:w="11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0.23568</w:t>
            </w:r>
          </w:p>
        </w:tc>
        <w:tc>
          <w:tcPr>
            <w:tcW w:w="121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0.20772</w:t>
            </w:r>
          </w:p>
        </w:tc>
      </w:tr>
    </w:tbl>
    <w:p w:rsidR="00E85D42" w:rsidRDefault="00E85D42">
      <w:pPr>
        <w:autoSpaceDE w:val="0"/>
        <w:ind w:firstLine="567"/>
        <w:jc w:val="both"/>
        <w:rPr>
          <w:rFonts w:eastAsia="Calibri"/>
          <w:sz w:val="24"/>
          <w:lang w:eastAsia="en-US"/>
        </w:rPr>
      </w:pPr>
    </w:p>
    <w:p w:rsidR="00E85D42" w:rsidRDefault="008113B9">
      <w:pPr>
        <w:pStyle w:val="Standarduser"/>
        <w:tabs>
          <w:tab w:val="left" w:pos="1134"/>
        </w:tabs>
        <w:spacing w:before="120" w:line="288" w:lineRule="auto"/>
        <w:ind w:firstLine="709"/>
        <w:jc w:val="both"/>
      </w:pPr>
      <w:r>
        <w:t>Для расчета</w:t>
      </w:r>
      <w:r>
        <w:rPr>
          <w:b/>
        </w:rPr>
        <w:t xml:space="preserve"> земельных участков, предназначенных для размещения </w:t>
      </w:r>
      <w:r>
        <w:rPr>
          <w:b/>
          <w:color w:val="212529"/>
        </w:rPr>
        <w:t>производственных объектов, расположенных в сельских населенных пунктах Республики Башкортостан</w:t>
      </w:r>
      <w:r>
        <w:t xml:space="preserve"> выбрана </w:t>
      </w:r>
      <w:r>
        <w:rPr>
          <w:b/>
        </w:rPr>
        <w:t>экспоненциальная модель.</w:t>
      </w:r>
    </w:p>
    <w:p w:rsidR="00E85D42" w:rsidRDefault="008113B9">
      <w:pPr>
        <w:pStyle w:val="Standarduser"/>
        <w:jc w:val="right"/>
      </w:pPr>
      <w:r>
        <w:t>Таблица 3.6.6.6</w:t>
      </w:r>
    </w:p>
    <w:tbl>
      <w:tblPr>
        <w:tblW w:w="8900" w:type="dxa"/>
        <w:jc w:val="center"/>
        <w:tblCellMar>
          <w:left w:w="10" w:type="dxa"/>
          <w:right w:w="10" w:type="dxa"/>
        </w:tblCellMar>
        <w:tblLook w:val="04A0" w:firstRow="1" w:lastRow="0" w:firstColumn="1" w:lastColumn="0" w:noHBand="0" w:noVBand="1"/>
      </w:tblPr>
      <w:tblGrid>
        <w:gridCol w:w="2479"/>
        <w:gridCol w:w="808"/>
        <w:gridCol w:w="5613"/>
      </w:tblGrid>
      <w:tr w:rsidR="00E85D42">
        <w:tblPrEx>
          <w:tblCellMar>
            <w:top w:w="0" w:type="dxa"/>
            <w:bottom w:w="0" w:type="dxa"/>
          </w:tblCellMar>
        </w:tblPrEx>
        <w:trPr>
          <w:trHeight w:val="645"/>
          <w:jc w:val="center"/>
        </w:trPr>
        <w:tc>
          <w:tcPr>
            <w:tcW w:w="2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Ценообразующий фактор</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 xml:space="preserve">№ </w:t>
            </w:r>
          </w:p>
        </w:tc>
        <w:tc>
          <w:tcPr>
            <w:tcW w:w="5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center"/>
              <w:rPr>
                <w:b/>
                <w:sz w:val="20"/>
                <w:szCs w:val="20"/>
              </w:rPr>
            </w:pPr>
            <w:r>
              <w:rPr>
                <w:b/>
                <w:sz w:val="20"/>
                <w:szCs w:val="20"/>
              </w:rPr>
              <w:t>Формула для расчета</w:t>
            </w:r>
          </w:p>
          <w:p w:rsidR="00E85D42" w:rsidRDefault="008113B9">
            <w:pPr>
              <w:pStyle w:val="Standarduser"/>
              <w:tabs>
                <w:tab w:val="left" w:pos="1134"/>
              </w:tabs>
              <w:spacing w:before="120" w:line="288" w:lineRule="auto"/>
              <w:jc w:val="center"/>
            </w:pPr>
            <w:r>
              <w:rPr>
                <w:b/>
                <w:sz w:val="20"/>
                <w:szCs w:val="20"/>
              </w:rPr>
              <w:t>Y = 7.7396803151168925 * e</w:t>
            </w:r>
            <w:r>
              <w:rPr>
                <w:b/>
                <w:sz w:val="20"/>
                <w:szCs w:val="20"/>
                <w:vertAlign w:val="superscript"/>
              </w:rPr>
              <w:t>0.8980045004909907 * F 0 + 1.1699567796824657 * F 1</w:t>
            </w:r>
          </w:p>
          <w:p w:rsidR="00E85D42" w:rsidRDefault="00E85D42">
            <w:pPr>
              <w:pStyle w:val="Standarduser"/>
              <w:tabs>
                <w:tab w:val="left" w:pos="1134"/>
              </w:tabs>
              <w:spacing w:before="120" w:line="288" w:lineRule="auto"/>
              <w:jc w:val="both"/>
              <w:rPr>
                <w:sz w:val="20"/>
                <w:szCs w:val="20"/>
              </w:rPr>
            </w:pPr>
          </w:p>
        </w:tc>
      </w:tr>
      <w:tr w:rsidR="00E85D42">
        <w:tblPrEx>
          <w:tblCellMar>
            <w:top w:w="0" w:type="dxa"/>
            <w:bottom w:w="0" w:type="dxa"/>
          </w:tblCellMar>
        </w:tblPrEx>
        <w:trPr>
          <w:trHeight w:val="495"/>
          <w:jc w:val="center"/>
        </w:trPr>
        <w:tc>
          <w:tcPr>
            <w:tcW w:w="2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autoSpaceDE w:val="0"/>
              <w:jc w:val="both"/>
              <w:rPr>
                <w:rFonts w:eastAsia="Calibri"/>
                <w:sz w:val="24"/>
                <w:lang w:eastAsia="en-US"/>
              </w:rPr>
            </w:pPr>
            <w:r>
              <w:rPr>
                <w:rFonts w:eastAsia="Calibri"/>
                <w:sz w:val="24"/>
                <w:lang w:eastAsia="en-US"/>
              </w:rPr>
              <w:t>Вид деятельности,</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0</w:t>
            </w:r>
          </w:p>
        </w:tc>
        <w:tc>
          <w:tcPr>
            <w:tcW w:w="5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1 (СХ)</w:t>
            </w:r>
            <w:r>
              <w:rPr>
                <w:sz w:val="20"/>
                <w:szCs w:val="20"/>
              </w:rPr>
              <w:tab/>
              <w:t>0.2408619127596785</w:t>
            </w:r>
          </w:p>
          <w:p w:rsidR="00E85D42" w:rsidRDefault="008113B9">
            <w:pPr>
              <w:pStyle w:val="Standarduser"/>
              <w:tabs>
                <w:tab w:val="left" w:pos="1134"/>
              </w:tabs>
              <w:spacing w:before="120" w:line="288" w:lineRule="auto"/>
              <w:jc w:val="both"/>
              <w:rPr>
                <w:sz w:val="20"/>
                <w:szCs w:val="20"/>
              </w:rPr>
            </w:pPr>
            <w:r>
              <w:rPr>
                <w:sz w:val="20"/>
                <w:szCs w:val="20"/>
              </w:rPr>
              <w:t>2 (Пром)</w:t>
            </w:r>
            <w:r>
              <w:rPr>
                <w:sz w:val="20"/>
                <w:szCs w:val="20"/>
              </w:rPr>
              <w:tab/>
              <w:t>1.7591380872403215</w:t>
            </w:r>
          </w:p>
        </w:tc>
      </w:tr>
      <w:tr w:rsidR="00E85D42">
        <w:tblPrEx>
          <w:tblCellMar>
            <w:top w:w="0" w:type="dxa"/>
            <w:bottom w:w="0" w:type="dxa"/>
          </w:tblCellMar>
        </w:tblPrEx>
        <w:trPr>
          <w:trHeight w:val="495"/>
          <w:jc w:val="center"/>
        </w:trPr>
        <w:tc>
          <w:tcPr>
            <w:tcW w:w="2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autoSpaceDE w:val="0"/>
              <w:jc w:val="both"/>
              <w:rPr>
                <w:rFonts w:eastAsia="Calibri"/>
                <w:sz w:val="24"/>
                <w:lang w:eastAsia="en-US"/>
              </w:rPr>
            </w:pPr>
            <w:r>
              <w:rPr>
                <w:rFonts w:eastAsia="Calibri"/>
                <w:sz w:val="24"/>
                <w:lang w:eastAsia="en-US"/>
              </w:rPr>
              <w:t xml:space="preserve">Статус НП (по </w:t>
            </w:r>
            <w:r>
              <w:rPr>
                <w:rFonts w:eastAsia="Calibri"/>
                <w:sz w:val="24"/>
                <w:lang w:eastAsia="en-US"/>
              </w:rPr>
              <w:t>Лейферу)</w:t>
            </w:r>
          </w:p>
        </w:tc>
        <w:tc>
          <w:tcPr>
            <w:tcW w:w="8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1</w:t>
            </w:r>
          </w:p>
        </w:tc>
        <w:tc>
          <w:tcPr>
            <w:tcW w:w="5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Прочий НП</w:t>
            </w:r>
            <w:r>
              <w:rPr>
                <w:sz w:val="20"/>
                <w:szCs w:val="20"/>
              </w:rPr>
              <w:tab/>
              <w:t>-  0.26019476567255023</w:t>
            </w:r>
          </w:p>
          <w:p w:rsidR="00E85D42" w:rsidRDefault="008113B9">
            <w:pPr>
              <w:pStyle w:val="Standarduser"/>
              <w:tabs>
                <w:tab w:val="left" w:pos="1134"/>
              </w:tabs>
              <w:spacing w:before="120" w:line="288" w:lineRule="auto"/>
              <w:jc w:val="both"/>
              <w:rPr>
                <w:sz w:val="20"/>
                <w:szCs w:val="20"/>
              </w:rPr>
            </w:pPr>
            <w:r>
              <w:rPr>
                <w:sz w:val="20"/>
                <w:szCs w:val="20"/>
              </w:rPr>
              <w:t>Центр МР -</w:t>
            </w:r>
            <w:r>
              <w:rPr>
                <w:sz w:val="20"/>
                <w:szCs w:val="20"/>
              </w:rPr>
              <w:tab/>
              <w:t>1</w:t>
            </w:r>
          </w:p>
          <w:p w:rsidR="00E85D42" w:rsidRDefault="008113B9">
            <w:pPr>
              <w:pStyle w:val="Standarduser"/>
              <w:tabs>
                <w:tab w:val="left" w:pos="1134"/>
              </w:tabs>
              <w:spacing w:before="120" w:line="288" w:lineRule="auto"/>
              <w:jc w:val="both"/>
              <w:rPr>
                <w:sz w:val="20"/>
                <w:szCs w:val="20"/>
              </w:rPr>
            </w:pPr>
            <w:r>
              <w:rPr>
                <w:sz w:val="20"/>
                <w:szCs w:val="20"/>
              </w:rPr>
              <w:t>Окрестности Уфы -</w:t>
            </w:r>
            <w:r>
              <w:rPr>
                <w:sz w:val="20"/>
                <w:szCs w:val="20"/>
              </w:rPr>
              <w:tab/>
              <w:t>1.0993675408187569</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3.6.6.7</w:t>
      </w:r>
    </w:p>
    <w:tbl>
      <w:tblPr>
        <w:tblW w:w="9528" w:type="dxa"/>
        <w:tblCellMar>
          <w:left w:w="10" w:type="dxa"/>
          <w:right w:w="10" w:type="dxa"/>
        </w:tblCellMar>
        <w:tblLook w:val="04A0" w:firstRow="1" w:lastRow="0" w:firstColumn="1" w:lastColumn="0" w:noHBand="0" w:noVBand="1"/>
      </w:tblPr>
      <w:tblGrid>
        <w:gridCol w:w="1737"/>
        <w:gridCol w:w="1023"/>
        <w:gridCol w:w="1050"/>
        <w:gridCol w:w="1137"/>
        <w:gridCol w:w="1076"/>
        <w:gridCol w:w="1166"/>
        <w:gridCol w:w="1123"/>
        <w:gridCol w:w="1216"/>
      </w:tblGrid>
      <w:tr w:rsidR="00E85D42">
        <w:tblPrEx>
          <w:tblCellMar>
            <w:top w:w="0" w:type="dxa"/>
            <w:bottom w:w="0" w:type="dxa"/>
          </w:tblCellMar>
        </w:tblPrEx>
        <w:trPr>
          <w:tblHeader/>
        </w:trPr>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 xml:space="preserve">Средняя относительная </w:t>
            </w:r>
            <w:r>
              <w:rPr>
                <w:b/>
                <w:bCs/>
                <w:color w:val="212529"/>
              </w:rPr>
              <w:t>погрешность</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7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6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94.87696</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0.38182</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1.04789</w:t>
            </w:r>
          </w:p>
        </w:tc>
        <w:tc>
          <w:tcPr>
            <w:tcW w:w="107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0.85694</w:t>
            </w:r>
          </w:p>
        </w:tc>
        <w:tc>
          <w:tcPr>
            <w:tcW w:w="116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0.83414</w:t>
            </w:r>
          </w:p>
        </w:tc>
        <w:tc>
          <w:tcPr>
            <w:tcW w:w="11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0.23711</w:t>
            </w:r>
          </w:p>
        </w:tc>
        <w:tc>
          <w:tcPr>
            <w:tcW w:w="121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0.24885</w:t>
            </w:r>
          </w:p>
        </w:tc>
      </w:tr>
    </w:tbl>
    <w:p w:rsidR="00E85D42" w:rsidRDefault="00E85D42">
      <w:pPr>
        <w:autoSpaceDE w:val="0"/>
        <w:ind w:firstLine="720"/>
        <w:jc w:val="both"/>
        <w:rPr>
          <w:rFonts w:eastAsia="Calibri"/>
          <w:sz w:val="24"/>
          <w:lang w:eastAsia="en-US"/>
        </w:rPr>
      </w:pPr>
    </w:p>
    <w:p w:rsidR="00E85D42" w:rsidRDefault="008113B9">
      <w:pPr>
        <w:autoSpaceDE w:val="0"/>
        <w:ind w:firstLine="567"/>
        <w:jc w:val="both"/>
      </w:pPr>
      <w:r>
        <w:rPr>
          <w:rFonts w:eastAsia="Calibri"/>
          <w:b/>
          <w:sz w:val="24"/>
          <w:lang w:eastAsia="en-US"/>
        </w:rPr>
        <w:t>Определение кадастровой стоимости земельных участков</w:t>
      </w:r>
      <w:r>
        <w:rPr>
          <w:rFonts w:eastAsia="Calibri"/>
          <w:sz w:val="24"/>
          <w:lang w:eastAsia="en-US"/>
        </w:rPr>
        <w:t xml:space="preserve"> произведено на основе построения </w:t>
      </w:r>
      <w:r>
        <w:rPr>
          <w:rFonts w:eastAsia="Calibri"/>
          <w:sz w:val="24"/>
          <w:lang w:eastAsia="en-US"/>
        </w:rPr>
        <w:t>статистической модели оценки средствами Автоматизированной информационной системы обеспечения государственной кадастровой оценки «Расчет кадастровой стоимости (далее – АИС ГКО). Процесс расчета кадастровой стоимости осуществляется при выполнении всех услов</w:t>
      </w:r>
      <w:r>
        <w:rPr>
          <w:rFonts w:eastAsia="Calibri"/>
          <w:sz w:val="24"/>
          <w:lang w:eastAsia="en-US"/>
        </w:rPr>
        <w:t>ий, обеспечивающих качество построенной модели. Выбранная модель отвечает требованиям статистической значимости и обладает наилучшими характеристиками в сравнении с другими статистически значимыми моделями. Данные, описывающие характеристики выбранных моде</w:t>
      </w:r>
      <w:r>
        <w:rPr>
          <w:rFonts w:eastAsia="Calibri"/>
          <w:sz w:val="24"/>
          <w:lang w:eastAsia="en-US"/>
        </w:rPr>
        <w:t>лей оценки приведены в Приложении 2 –«Расчет Моделирование».</w:t>
      </w:r>
    </w:p>
    <w:p w:rsidR="00E85D42" w:rsidRDefault="00E85D42">
      <w:pPr>
        <w:jc w:val="both"/>
        <w:rPr>
          <w:rFonts w:eastAsia="Calibri"/>
          <w:b/>
          <w:sz w:val="24"/>
          <w:lang w:eastAsia="en-US"/>
        </w:rPr>
      </w:pPr>
    </w:p>
    <w:p w:rsidR="00E85D42" w:rsidRDefault="008113B9">
      <w:pPr>
        <w:autoSpaceDE w:val="0"/>
        <w:ind w:firstLine="720"/>
        <w:jc w:val="both"/>
      </w:pPr>
      <w:r>
        <w:rPr>
          <w:i/>
          <w:sz w:val="24"/>
          <w:lang w:eastAsia="en-US"/>
        </w:rPr>
        <w:t xml:space="preserve">Определение кадастровой стоимости земельных участков видов разрешенного использования 03:011; 06:074; 06:080; 07:010; 07:015; 07:020; 07:030; 07:050; 10:012; 12:001. </w:t>
      </w:r>
    </w:p>
    <w:p w:rsidR="00E85D42" w:rsidRDefault="008113B9">
      <w:pPr>
        <w:ind w:firstLine="720"/>
        <w:jc w:val="both"/>
      </w:pPr>
      <w:r>
        <w:rPr>
          <w:sz w:val="24"/>
        </w:rPr>
        <w:t>Согласно п.п. 9.2.2.5.3.3.</w:t>
      </w:r>
      <w:r>
        <w:t xml:space="preserve"> </w:t>
      </w:r>
      <w:r>
        <w:rPr>
          <w:sz w:val="24"/>
        </w:rPr>
        <w:t>Указаний, удельные показатели кадастровой стоимости земельных участков рассчитываются исходя из значений удельных показателей кадастровой стоимости земельных участков категории и (или) вида использования, граничащих с указанными земельными участками.</w:t>
      </w:r>
    </w:p>
    <w:p w:rsidR="00E85D42" w:rsidRDefault="008113B9">
      <w:pPr>
        <w:ind w:firstLine="720"/>
        <w:jc w:val="both"/>
      </w:pPr>
      <w:r>
        <w:rPr>
          <w:sz w:val="24"/>
        </w:rPr>
        <w:t>Для о</w:t>
      </w:r>
      <w:r>
        <w:rPr>
          <w:sz w:val="24"/>
        </w:rPr>
        <w:t xml:space="preserve">пределения граничащих земельных участков использовались дежурные кадастровые карты (ДКК) в разрезе муниципальных районов Республики Башкортостан. Например, при определении, УПКС земельного участка с кадастровым номером </w:t>
      </w:r>
      <w:r>
        <w:rPr>
          <w:sz w:val="24"/>
          <w:szCs w:val="24"/>
        </w:rPr>
        <w:t>02:73:010726:255</w:t>
      </w:r>
      <w:r>
        <w:rPr>
          <w:sz w:val="24"/>
        </w:rPr>
        <w:t>, относящегося к коду</w:t>
      </w:r>
      <w:r>
        <w:rPr>
          <w:sz w:val="24"/>
        </w:rPr>
        <w:t xml:space="preserve"> 12:001, находилось его местоположение на ДКК Баймакский район определялся граничащий с ним земельный участок. В данном случае оцениваемый земельный участок граничит с земельными участками, у</w:t>
      </w:r>
      <w:r>
        <w:rPr>
          <w:sz w:val="24"/>
          <w:szCs w:val="24"/>
        </w:rPr>
        <w:t>дельный показатель кадастровой стоимости для которых составляет 0</w:t>
      </w:r>
      <w:r>
        <w:rPr>
          <w:sz w:val="24"/>
          <w:szCs w:val="24"/>
        </w:rPr>
        <w:t>2:73:010726:108–460,57 руб/кв.м., 02:73:010726:109–460,87 руб/кв.м., 02:73:010726:252–23,82 руб/кв.м., 02:73:010726:253–460,43 руб/кв.м., 02:73:010726:256– 460,34 руб/кв.м</w:t>
      </w:r>
      <w:r>
        <w:rPr>
          <w:sz w:val="24"/>
        </w:rPr>
        <w:t>. Таким образом, земельный участок 02:44:070301:794 будет иметь УПКС равный 460,66 ру</w:t>
      </w:r>
      <w:r>
        <w:rPr>
          <w:sz w:val="24"/>
        </w:rPr>
        <w:t>б./кв.м.</w:t>
      </w:r>
    </w:p>
    <w:p w:rsidR="00E85D42" w:rsidRDefault="008113B9">
      <w:pPr>
        <w:ind w:firstLine="720"/>
        <w:jc w:val="both"/>
        <w:rPr>
          <w:sz w:val="24"/>
        </w:rPr>
      </w:pPr>
      <w:r>
        <w:rPr>
          <w:sz w:val="24"/>
        </w:rPr>
        <w:t>Результаты кадастровой оценки земель сельскохозяйственного назначения утверждены Постановлением Правительства Республики Башкортостан от 27 декабря 2016 г. N 552. Результаты кадастровой оценки земель особо охраняемых территорий и земель промышленн</w:t>
      </w:r>
      <w:r>
        <w:rPr>
          <w:sz w:val="24"/>
        </w:rPr>
        <w:t xml:space="preserve">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утверждены Приказом Минземимущества РБ №1371 от 1 ноября 2018 </w:t>
      </w:r>
      <w:r>
        <w:rPr>
          <w:sz w:val="24"/>
        </w:rPr>
        <w:t>года. Удельные показатели кадастровой стоимости земель лесного фонда утверждены Постановлением Правительства Республики Башкортостан №500 от 24 ноября 2015г. Удельные показатели кадастровой стоимости земель водного фонда утверждены Постановлением Правитель</w:t>
      </w:r>
      <w:r>
        <w:rPr>
          <w:sz w:val="24"/>
        </w:rPr>
        <w:t xml:space="preserve">ства Республики Башкортостан №499 от 24 ноября 2015г, Удельные показатели кадастровой стоимости земель населенных пунктов утверждены Постановлением Правительства Республики Башкортостан №482 от 17 ноября 2015г. </w:t>
      </w:r>
    </w:p>
    <w:p w:rsidR="00E85D42" w:rsidRDefault="008113B9">
      <w:pPr>
        <w:ind w:firstLine="640"/>
        <w:jc w:val="both"/>
        <w:rPr>
          <w:sz w:val="24"/>
        </w:rPr>
      </w:pPr>
      <w:r>
        <w:rPr>
          <w:sz w:val="24"/>
        </w:rPr>
        <w:t xml:space="preserve">В процессе анализа результатов расчета, </w:t>
      </w:r>
      <w:r>
        <w:rPr>
          <w:sz w:val="24"/>
        </w:rPr>
        <w:t>выявлены земельные участки, удельный показатель кадастровой стоимости которых ниже минимально возможного уровня кадастровой стоимости, полученного методом расчета затрат на межевание и оформление прав на земельный участок, что противоречит п.п. 1.16 Указан</w:t>
      </w:r>
      <w:r>
        <w:rPr>
          <w:sz w:val="24"/>
        </w:rPr>
        <w:t xml:space="preserve">ий.  Кадастровая стоимость таких земельных участков рассчитана методом расчета затрат на межевание и оформление прав на земельный участок.  </w:t>
      </w:r>
    </w:p>
    <w:p w:rsidR="00E85D42" w:rsidRDefault="008113B9">
      <w:pPr>
        <w:ind w:firstLine="640"/>
        <w:jc w:val="both"/>
        <w:rPr>
          <w:sz w:val="24"/>
        </w:rPr>
      </w:pPr>
      <w:r>
        <w:rPr>
          <w:sz w:val="24"/>
        </w:rPr>
        <w:t>Описание расчета кадастровой стоимости земельных участков, приводится по форме Приложения 2 – «Расчет Производствен</w:t>
      </w:r>
      <w:r>
        <w:rPr>
          <w:sz w:val="24"/>
        </w:rPr>
        <w:t>ная деятельность (дороги, ЛЭП)». Результаты определения кадастровой стоимости земельных участков приводятся в Приложении 2.</w:t>
      </w:r>
    </w:p>
    <w:p w:rsidR="00E85D42" w:rsidRDefault="008113B9">
      <w:pPr>
        <w:ind w:firstLine="640"/>
        <w:jc w:val="both"/>
        <w:rPr>
          <w:sz w:val="24"/>
        </w:rPr>
      </w:pPr>
      <w:r>
        <w:rPr>
          <w:sz w:val="24"/>
        </w:rPr>
        <w:t>Таблица с указанием способа определения кадастровой стоимости с указанием моделей, подходов, методов, использованных при определении</w:t>
      </w:r>
      <w:r>
        <w:rPr>
          <w:sz w:val="24"/>
        </w:rPr>
        <w:t xml:space="preserve"> кадастровой стоимости для каждого объекта недвижимости   представлена в Приложении № 2 Сведения о способе определения кадастровой стоимости для каждого объекта недвижимости.</w:t>
      </w:r>
    </w:p>
    <w:p w:rsidR="00E85D42" w:rsidRDefault="00E85D42">
      <w:pPr>
        <w:jc w:val="both"/>
        <w:rPr>
          <w:rFonts w:eastAsia="Calibri"/>
          <w:i/>
          <w:sz w:val="24"/>
          <w:lang w:eastAsia="en-US"/>
        </w:rPr>
      </w:pPr>
    </w:p>
    <w:p w:rsidR="00E85D42" w:rsidRDefault="00E85D42">
      <w:pPr>
        <w:jc w:val="both"/>
        <w:rPr>
          <w:rFonts w:eastAsia="Calibri"/>
          <w:i/>
          <w:sz w:val="24"/>
          <w:lang w:eastAsia="en-US"/>
        </w:rPr>
      </w:pPr>
    </w:p>
    <w:p w:rsidR="00E85D42" w:rsidRDefault="00E85D42">
      <w:pPr>
        <w:jc w:val="both"/>
        <w:rPr>
          <w:rFonts w:eastAsia="Calibri"/>
          <w:i/>
          <w:sz w:val="24"/>
          <w:lang w:eastAsia="en-US"/>
        </w:rPr>
      </w:pPr>
    </w:p>
    <w:p w:rsidR="00E85D42" w:rsidRDefault="008113B9">
      <w:pPr>
        <w:tabs>
          <w:tab w:val="right" w:pos="9072"/>
        </w:tabs>
        <w:spacing w:line="276" w:lineRule="auto"/>
        <w:ind w:firstLine="709"/>
        <w:jc w:val="both"/>
        <w:rPr>
          <w:i/>
          <w:sz w:val="24"/>
          <w:szCs w:val="24"/>
        </w:rPr>
      </w:pPr>
      <w:r>
        <w:rPr>
          <w:i/>
          <w:sz w:val="24"/>
          <w:szCs w:val="24"/>
        </w:rPr>
        <w:t xml:space="preserve">Определение кадастровой стоимости земельных участков с кодами 04:095; 04:098; </w:t>
      </w:r>
      <w:r>
        <w:rPr>
          <w:i/>
          <w:sz w:val="24"/>
          <w:szCs w:val="24"/>
        </w:rPr>
        <w:t xml:space="preserve">04:099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Согласно п. 9.2.2.5.3.4. Указаний определение кадастровой стоимости земельных участков осуществляется в следующем порядке: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группировка земельных участков;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 определение типового (эталонного) земельного участка для каждой из групп (подгрупп) </w:t>
      </w:r>
      <w:r>
        <w:rPr>
          <w:rFonts w:ascii="Times New Roman" w:hAnsi="Times New Roman"/>
          <w:sz w:val="24"/>
          <w:szCs w:val="24"/>
        </w:rPr>
        <w:t>земельных участков;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расчет рыночной стоимости типовых (эталонных) земельных участков в соответствии с требованиями главы VIII Указаний;</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определение удельного показателя кадастровой стоимости земельных участков путем деления рыночной стоимости типовых (</w:t>
      </w:r>
      <w:r>
        <w:rPr>
          <w:rFonts w:ascii="Times New Roman" w:hAnsi="Times New Roman"/>
          <w:sz w:val="24"/>
          <w:szCs w:val="24"/>
        </w:rPr>
        <w:t>эталонных) земельных участков на их площадь;</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корректировка стоимости типовых (эталонных) участков, учитывающая отличие значений ценообразующих факторов каждого конкретного объекта, по отношению к значениям ценообразующих факторов типового (эталонного) об</w:t>
      </w:r>
      <w:r>
        <w:rPr>
          <w:rFonts w:ascii="Times New Roman" w:hAnsi="Times New Roman"/>
          <w:sz w:val="24"/>
          <w:szCs w:val="24"/>
        </w:rPr>
        <w:t>ъекта для получения удельного показателя кадастровой стоимости земельных участков;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определение кадастровой стоимости земельных участков умножением УПКС земельных участков на их площадь.</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Согласно п. 7.2.2 Указаний, метод типового (эталонного) объекта недв</w:t>
      </w:r>
      <w:r>
        <w:rPr>
          <w:rFonts w:ascii="Times New Roman" w:hAnsi="Times New Roman"/>
          <w:sz w:val="24"/>
          <w:szCs w:val="24"/>
        </w:rPr>
        <w:t>ижимости заключается в следующем:</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Определяется группа (подгруппа) объектов недвижимости, в которой возможно (целесообразно) типологизировать объекты недвижимости;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Определяется основание типологизации – характеристика или группа характеристик объектов недви</w:t>
      </w:r>
      <w:r>
        <w:rPr>
          <w:rFonts w:ascii="Times New Roman" w:hAnsi="Times New Roman"/>
          <w:sz w:val="24"/>
          <w:szCs w:val="24"/>
        </w:rPr>
        <w:t>жимости, на основании которых можно их сгруппировать;</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Проводится типологизация объектов недвижимости объектов недвижимости;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Формируется типовой (эталонный) объект недвижимости;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Определяется стоимость типового (эталонного) объекта недвижимости;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Корректируют</w:t>
      </w:r>
      <w:r>
        <w:rPr>
          <w:rFonts w:ascii="Times New Roman" w:hAnsi="Times New Roman"/>
          <w:sz w:val="24"/>
          <w:szCs w:val="24"/>
        </w:rPr>
        <w:t>ся стоимости объектов недвижимости при распространении на них стоимости типового (эталонного) объекта недвижимости.</w:t>
      </w:r>
    </w:p>
    <w:p w:rsidR="00E85D42" w:rsidRDefault="00E85D42">
      <w:pPr>
        <w:autoSpaceDE w:val="0"/>
        <w:spacing w:after="120" w:line="276" w:lineRule="auto"/>
        <w:ind w:firstLine="709"/>
        <w:jc w:val="both"/>
        <w:rPr>
          <w:rFonts w:eastAsia="Calibri"/>
          <w:b/>
          <w:sz w:val="24"/>
          <w:szCs w:val="24"/>
          <w:lang w:eastAsia="en-US"/>
        </w:rPr>
      </w:pPr>
    </w:p>
    <w:p w:rsidR="00E85D42" w:rsidRDefault="008113B9">
      <w:pPr>
        <w:autoSpaceDE w:val="0"/>
        <w:spacing w:after="120" w:line="276" w:lineRule="auto"/>
        <w:ind w:firstLine="709"/>
        <w:jc w:val="both"/>
        <w:rPr>
          <w:rFonts w:eastAsia="Calibri"/>
          <w:b/>
          <w:sz w:val="24"/>
          <w:szCs w:val="24"/>
          <w:lang w:eastAsia="en-US"/>
        </w:rPr>
      </w:pPr>
      <w:r>
        <w:rPr>
          <w:rFonts w:eastAsia="Calibri"/>
          <w:b/>
          <w:sz w:val="24"/>
          <w:szCs w:val="24"/>
          <w:lang w:eastAsia="en-US"/>
        </w:rPr>
        <w:t>Определение группы (подгруппы), к которой относятся объекты оценки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Оцениваемые земельные участки, отнесенные к кодам 04:095; 04:098; </w:t>
      </w:r>
      <w:r>
        <w:rPr>
          <w:rFonts w:ascii="Times New Roman" w:hAnsi="Times New Roman"/>
          <w:sz w:val="24"/>
          <w:szCs w:val="24"/>
        </w:rPr>
        <w:t>04:099, относятся к категории земель населенных пунктов, шестому сегменту «Производственная деятельность» «Объекты придорожного сервиса» с видами разрешенного использования:</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«Размещение автозаправочных станций (бензиновых, газовых)» (04:095);</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«Размеще</w:t>
      </w:r>
      <w:r>
        <w:rPr>
          <w:rFonts w:ascii="Times New Roman" w:hAnsi="Times New Roman"/>
          <w:sz w:val="24"/>
          <w:szCs w:val="24"/>
        </w:rPr>
        <w:t>ние автомобильных моек и прачечных для автомобильных принадлежностей» (04:098);</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«Размещение мастерских, предназначенных для ремонта и обслуживания автомобилей и прочих объектов придорожного сервиса» (04:099).</w:t>
      </w:r>
    </w:p>
    <w:p w:rsidR="00E85D42" w:rsidRDefault="00E85D42">
      <w:pPr>
        <w:pStyle w:val="affffc"/>
        <w:ind w:firstLine="709"/>
        <w:jc w:val="both"/>
        <w:rPr>
          <w:rFonts w:ascii="Times New Roman" w:hAnsi="Times New Roman"/>
          <w:sz w:val="24"/>
          <w:szCs w:val="24"/>
        </w:rPr>
      </w:pP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Объекты оценки можно разделить на 3 группы:</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земельные участки, расположенные в сельских населенных пунктах РБ с кодами 04:095; 04:098; 04:099;</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земельные участки, расположенные в городах РБ с кодами 04:095; 04:098; 04:099;</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земельные участки, расположенные в г Уфа с кодами 04:095; 04:098; 04:099</w:t>
      </w:r>
      <w:r>
        <w:rPr>
          <w:rFonts w:ascii="Times New Roman" w:hAnsi="Times New Roman"/>
          <w:sz w:val="24"/>
          <w:szCs w:val="24"/>
        </w:rPr>
        <w:t>.</w:t>
      </w:r>
    </w:p>
    <w:p w:rsidR="00E85D42" w:rsidRDefault="00E85D42">
      <w:pPr>
        <w:autoSpaceDE w:val="0"/>
        <w:spacing w:after="120" w:line="276" w:lineRule="auto"/>
        <w:ind w:firstLine="709"/>
        <w:jc w:val="both"/>
        <w:rPr>
          <w:rFonts w:eastAsia="Calibri"/>
          <w:sz w:val="24"/>
          <w:szCs w:val="24"/>
          <w:lang w:eastAsia="en-US"/>
        </w:rPr>
      </w:pPr>
    </w:p>
    <w:p w:rsidR="00E85D42" w:rsidRDefault="008113B9">
      <w:pPr>
        <w:autoSpaceDE w:val="0"/>
        <w:spacing w:after="120" w:line="276" w:lineRule="auto"/>
        <w:ind w:firstLine="709"/>
        <w:jc w:val="both"/>
        <w:rPr>
          <w:rFonts w:eastAsia="Calibri"/>
          <w:b/>
          <w:sz w:val="24"/>
          <w:szCs w:val="24"/>
          <w:lang w:eastAsia="en-US"/>
        </w:rPr>
      </w:pPr>
      <w:r>
        <w:rPr>
          <w:rFonts w:eastAsia="Calibri"/>
          <w:b/>
          <w:sz w:val="24"/>
          <w:szCs w:val="24"/>
          <w:lang w:eastAsia="en-US"/>
        </w:rPr>
        <w:t>Определение группы характеристик типового (эталонного) земельного участка для каждой из групп (подгрупп) земельных участков</w:t>
      </w:r>
    </w:p>
    <w:p w:rsidR="00E85D42" w:rsidRDefault="008113B9">
      <w:pPr>
        <w:pStyle w:val="affffc"/>
        <w:ind w:firstLine="709"/>
        <w:jc w:val="both"/>
        <w:rPr>
          <w:rFonts w:ascii="Times New Roman" w:hAnsi="Times New Roman"/>
          <w:sz w:val="24"/>
          <w:szCs w:val="24"/>
        </w:rPr>
      </w:pPr>
      <w:bookmarkStart w:id="149" w:name="_Hlk514933090"/>
      <w:r>
        <w:rPr>
          <w:rFonts w:ascii="Times New Roman" w:hAnsi="Times New Roman"/>
          <w:sz w:val="24"/>
          <w:szCs w:val="24"/>
        </w:rPr>
        <w:t>Типологизация объектов недвижимости проводилась в разрезе основных параметров/характеристик, присущих соответствующему сегменту з</w:t>
      </w:r>
      <w:r>
        <w:rPr>
          <w:rFonts w:ascii="Times New Roman" w:hAnsi="Times New Roman"/>
          <w:sz w:val="24"/>
          <w:szCs w:val="24"/>
        </w:rPr>
        <w:t xml:space="preserve">емельных участков.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Для земельных участков, расположенных в сельских населенных пунктах РБ типологизация проводилась по таким ключевым параметрам (факторам), как:</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вид разрешенного использования</w:t>
      </w:r>
      <w:bookmarkStart w:id="150" w:name="_Hlk514933393"/>
      <w:r>
        <w:rPr>
          <w:rFonts w:ascii="Times New Roman" w:hAnsi="Times New Roman"/>
          <w:sz w:val="24"/>
          <w:szCs w:val="24"/>
        </w:rPr>
        <w:t xml:space="preserve"> (земельные участки под АЗС; земельные участки под автомойки,</w:t>
      </w:r>
      <w:r>
        <w:rPr>
          <w:rFonts w:ascii="Times New Roman" w:hAnsi="Times New Roman"/>
          <w:sz w:val="24"/>
          <w:szCs w:val="24"/>
        </w:rPr>
        <w:t xml:space="preserve"> мастерские);</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 принадлежность (близость) к основным автомагистралям (трассы федерального значения, трассы регионального значения, трассы местного значения). Данный фактор характеризует уровень развития транспортной инфраструктуры окружения объекта оценки </w:t>
      </w:r>
      <w:r>
        <w:rPr>
          <w:rFonts w:ascii="Times New Roman" w:hAnsi="Times New Roman"/>
          <w:sz w:val="24"/>
          <w:szCs w:val="24"/>
        </w:rPr>
        <w:t>и подобранных объектов-аналогов. Близость к федеральным и региональным дорогам повышает стоимость земельных участков;</w:t>
      </w:r>
    </w:p>
    <w:bookmarkEnd w:id="150"/>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-удаленность и принадлежность к населенным пунктам в разрезе условной классификации (ОЦ – областной центр, РЦ – районные центры, НП – проч</w:t>
      </w:r>
      <w:r>
        <w:rPr>
          <w:rFonts w:ascii="Times New Roman" w:hAnsi="Times New Roman"/>
          <w:sz w:val="24"/>
          <w:szCs w:val="24"/>
        </w:rPr>
        <w:t>ие населенные пункты).</w:t>
      </w:r>
      <w:bookmarkEnd w:id="149"/>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Для земельных участков, расположенных в городах РБ и в г. Уфа типологизация проводилась по таким ключевым параметрам (факторам), как:</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вид разрешенного использования;</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 расположение вдоль основных городских дорог;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выход на «красн</w:t>
      </w:r>
      <w:r>
        <w:rPr>
          <w:rFonts w:ascii="Times New Roman" w:hAnsi="Times New Roman"/>
          <w:sz w:val="24"/>
          <w:szCs w:val="24"/>
        </w:rPr>
        <w:t>ую» линию;</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район расположения объекта оценки (центр, окраина города).</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Более подробно состав ценообразующих факторов (факторов типологизации), отнесенных к соответствующей группе, приведен в таблицах 1 – 3 в Приложении 2 «Объекты придорожного сервиса».</w:t>
      </w:r>
    </w:p>
    <w:p w:rsidR="00E85D42" w:rsidRDefault="00E85D42">
      <w:pPr>
        <w:spacing w:after="120" w:line="276" w:lineRule="auto"/>
        <w:ind w:firstLine="709"/>
        <w:jc w:val="both"/>
        <w:rPr>
          <w:rFonts w:eastAsia="Calibri"/>
          <w:sz w:val="24"/>
          <w:szCs w:val="24"/>
        </w:rPr>
      </w:pPr>
      <w:bookmarkStart w:id="151" w:name="_Hlk514933138"/>
    </w:p>
    <w:bookmarkEnd w:id="151"/>
    <w:p w:rsidR="00E85D42" w:rsidRDefault="008113B9">
      <w:pPr>
        <w:autoSpaceDE w:val="0"/>
        <w:spacing w:after="120" w:line="276" w:lineRule="auto"/>
        <w:ind w:firstLine="709"/>
        <w:jc w:val="both"/>
        <w:rPr>
          <w:rFonts w:eastAsia="Calibri"/>
          <w:b/>
          <w:sz w:val="24"/>
          <w:szCs w:val="24"/>
          <w:lang w:eastAsia="en-US"/>
        </w:rPr>
      </w:pPr>
      <w:r>
        <w:rPr>
          <w:rFonts w:eastAsia="Calibri"/>
          <w:b/>
          <w:sz w:val="24"/>
          <w:szCs w:val="24"/>
          <w:lang w:eastAsia="en-US"/>
        </w:rPr>
        <w:t xml:space="preserve">Формирование типовых (эталонных) земельных участков для каждой подгруппы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Для проведения дальнейших расчётов были сформированы  основные группы, по которым в дальнейшем была рассчитана стоимость типовых (эталонных) объектов.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Эталонный земельный участок для</w:t>
      </w:r>
      <w:r>
        <w:rPr>
          <w:rFonts w:ascii="Times New Roman" w:hAnsi="Times New Roman"/>
          <w:sz w:val="24"/>
          <w:szCs w:val="24"/>
        </w:rPr>
        <w:t xml:space="preserve"> каждой группы определялся в разрезе факторов стоимости, обладающий наиболее вероятными характеристиками. При этом под наиболее вероятными характеристикам понимаются средние или наиболее часто встречающиеся характеристики земельного участка.</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К группе 1.1 -</w:t>
      </w:r>
      <w:r>
        <w:rPr>
          <w:rFonts w:ascii="Times New Roman" w:hAnsi="Times New Roman"/>
          <w:sz w:val="24"/>
          <w:szCs w:val="24"/>
        </w:rPr>
        <w:t xml:space="preserve"> относятся земельные участки под АЗС, расположенные в сельских населенных пунктах РБ;</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К группе 1.2. - относятся земельные участки под автомойки, мастерские и т.д., расположенные в сельских населенных пунктах РБ;</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К группе 2.1 – относятся земельные участки п</w:t>
      </w:r>
      <w:r>
        <w:rPr>
          <w:rFonts w:ascii="Times New Roman" w:hAnsi="Times New Roman"/>
          <w:sz w:val="24"/>
          <w:szCs w:val="24"/>
        </w:rPr>
        <w:t xml:space="preserve">од АЗС, расположенные в центре городов РБ (до 1,5 км от административного центра);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К группе 2.2 – относятся земельные участки под АЗС, расположенные на окраине городов РБ (более 1,5 км от административного центра);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К группе 2.3 – относятся земельные учас</w:t>
      </w:r>
      <w:r>
        <w:rPr>
          <w:rFonts w:ascii="Times New Roman" w:hAnsi="Times New Roman"/>
          <w:sz w:val="24"/>
          <w:szCs w:val="24"/>
        </w:rPr>
        <w:t xml:space="preserve">тки под автомойки, мастерские и т.д., расположенные в центре городов РБ (до 1,5 км от административного центра);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К группе 2.4 – относятся земельные участки под автомойки, мастерские и т.д., расположенные на окраине городов РБ (более 1,5 км от администрати</w:t>
      </w:r>
      <w:r>
        <w:rPr>
          <w:rFonts w:ascii="Times New Roman" w:hAnsi="Times New Roman"/>
          <w:sz w:val="24"/>
          <w:szCs w:val="24"/>
        </w:rPr>
        <w:t xml:space="preserve">вного центра);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К группе 3.1 – относятся земельные участки под АЗС, расположенные в центре г.Уфа (до 8 км от административного центра г.Уфы);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К группе 3.2 – относятся земельные участки под АЗС, расположенные на окраине г.Уфа (более 8 км от административно</w:t>
      </w:r>
      <w:r>
        <w:rPr>
          <w:rFonts w:ascii="Times New Roman" w:hAnsi="Times New Roman"/>
          <w:sz w:val="24"/>
          <w:szCs w:val="24"/>
        </w:rPr>
        <w:t xml:space="preserve">го центра г.Уфы);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К группе 3.3 – относятся земельные участки под автомойки, мастерские и т.д., расположенные в центре г.Уфа (до 8 км от административного центра г.Уфы);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К группе 3.4 – относятся земельные участки под автомойки, мастерские и т.д., располож</w:t>
      </w:r>
      <w:r>
        <w:rPr>
          <w:rFonts w:ascii="Times New Roman" w:hAnsi="Times New Roman"/>
          <w:sz w:val="24"/>
          <w:szCs w:val="24"/>
        </w:rPr>
        <w:t>енные на окраине г.Уфа (более 8 км от административного центра г.Уфы).</w:t>
      </w:r>
    </w:p>
    <w:p w:rsidR="00E85D42" w:rsidRDefault="00E85D42">
      <w:pPr>
        <w:spacing w:line="276" w:lineRule="auto"/>
        <w:ind w:firstLine="720"/>
        <w:jc w:val="both"/>
        <w:rPr>
          <w:sz w:val="24"/>
          <w:szCs w:val="24"/>
        </w:rPr>
      </w:pP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Описание типовых (эталонных) объектов, их местоположения, расположение относительно крупных автодорог и др. были сведены в таблицы (Приложение 2 «Объекты придорожного сервиса»).</w:t>
      </w:r>
    </w:p>
    <w:p w:rsidR="00E85D42" w:rsidRDefault="008113B9">
      <w:pPr>
        <w:spacing w:line="360" w:lineRule="auto"/>
        <w:jc w:val="both"/>
      </w:pPr>
      <w:r>
        <w:t xml:space="preserve"> </w:t>
      </w:r>
    </w:p>
    <w:p w:rsidR="00E85D42" w:rsidRDefault="008113B9">
      <w:pPr>
        <w:autoSpaceDE w:val="0"/>
        <w:spacing w:after="120" w:line="276" w:lineRule="auto"/>
        <w:ind w:firstLine="709"/>
        <w:jc w:val="both"/>
      </w:pPr>
      <w:r>
        <w:rPr>
          <w:rFonts w:eastAsia="Calibri"/>
          <w:sz w:val="24"/>
          <w:szCs w:val="24"/>
          <w:lang w:eastAsia="en-US"/>
        </w:rPr>
        <w:t>Согл</w:t>
      </w:r>
      <w:r>
        <w:rPr>
          <w:rFonts w:eastAsia="Calibri"/>
          <w:sz w:val="24"/>
          <w:szCs w:val="24"/>
          <w:lang w:eastAsia="en-US"/>
        </w:rPr>
        <w:t>асно 9.2.2.5.3.4. Указаний</w:t>
      </w:r>
      <w:r>
        <w:rPr>
          <w:rFonts w:eastAsia="Calibri"/>
          <w:b/>
          <w:sz w:val="24"/>
          <w:szCs w:val="24"/>
          <w:lang w:eastAsia="en-US"/>
        </w:rPr>
        <w:t xml:space="preserve">, расчет рыночной стоимости типовых (эталонных) земельных участков </w:t>
      </w:r>
      <w:r>
        <w:rPr>
          <w:rFonts w:eastAsia="Calibri"/>
          <w:sz w:val="24"/>
          <w:szCs w:val="24"/>
          <w:lang w:eastAsia="en-US"/>
        </w:rPr>
        <w:t>произведен в соответствии с требованиями главы VIII Указаний.</w:t>
      </w:r>
      <w:r>
        <w:rPr>
          <w:rFonts w:eastAsia="Calibri"/>
          <w:b/>
          <w:sz w:val="24"/>
          <w:szCs w:val="24"/>
          <w:lang w:eastAsia="en-US"/>
        </w:rPr>
        <w:t xml:space="preserve"> </w:t>
      </w:r>
      <w:r>
        <w:rPr>
          <w:rFonts w:eastAsia="Calibri"/>
          <w:sz w:val="24"/>
          <w:szCs w:val="24"/>
          <w:lang w:eastAsia="en-US"/>
        </w:rPr>
        <w:t xml:space="preserve">Описание расчета приведено в </w:t>
      </w:r>
      <w:hyperlink r:id="rId353" w:history="1">
        <w:r>
          <w:rPr>
            <w:rStyle w:val="a5"/>
            <w:rFonts w:eastAsia="Calibri"/>
            <w:sz w:val="24"/>
            <w:szCs w:val="24"/>
            <w:lang w:eastAsia="en-US"/>
          </w:rPr>
          <w:t>разделе 3.5. Отчета</w:t>
        </w:r>
      </w:hyperlink>
    </w:p>
    <w:p w:rsidR="00E85D42" w:rsidRDefault="008113B9">
      <w:pPr>
        <w:tabs>
          <w:tab w:val="right" w:pos="9072"/>
        </w:tabs>
        <w:spacing w:after="120" w:line="276" w:lineRule="auto"/>
        <w:ind w:firstLine="709"/>
        <w:jc w:val="both"/>
      </w:pPr>
      <w:r>
        <w:rPr>
          <w:b/>
          <w:sz w:val="24"/>
          <w:szCs w:val="24"/>
        </w:rPr>
        <w:t xml:space="preserve">Корректировка стоимости </w:t>
      </w:r>
      <w:r>
        <w:rPr>
          <w:b/>
          <w:sz w:val="24"/>
          <w:szCs w:val="24"/>
        </w:rPr>
        <w:t>объектов недвижимости при распространении на них стоимости типового (эталонного) объекта недвижимости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По итогам проведенных расчетов удельный показатель кадастровой стоимости объектов оценки определялся в соответствии с ранее представленной группировкой и </w:t>
      </w:r>
      <w:r>
        <w:rPr>
          <w:rFonts w:ascii="Times New Roman" w:hAnsi="Times New Roman"/>
          <w:sz w:val="24"/>
          <w:szCs w:val="24"/>
        </w:rPr>
        <w:t>внесением корректировок к полученной стоимости эталонного участка. Значения величин корректирующих коэффициентов при расчете удельного показателя кадастровой стоимости объектов оценки определялись аналогично определению стоимости типового (эталонного) объе</w:t>
      </w:r>
      <w:r>
        <w:rPr>
          <w:rFonts w:ascii="Times New Roman" w:hAnsi="Times New Roman"/>
          <w:sz w:val="24"/>
          <w:szCs w:val="24"/>
        </w:rPr>
        <w:t>кта.</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Расчет удельного показателя кадастровой стоимости оцениваемых земельных участков с кодами 04:095 04:098 04:099 приведен в Приложении № 2 «Объекты придорожного сервиса».</w:t>
      </w:r>
    </w:p>
    <w:p w:rsidR="00E85D42" w:rsidRDefault="00E85D42">
      <w:pPr>
        <w:jc w:val="both"/>
        <w:rPr>
          <w:rFonts w:eastAsia="Calibri"/>
          <w:b/>
          <w:sz w:val="24"/>
          <w:lang w:eastAsia="en-US"/>
        </w:rPr>
      </w:pPr>
    </w:p>
    <w:p w:rsidR="00E85D42" w:rsidRDefault="008113B9">
      <w:pPr>
        <w:pStyle w:val="8"/>
        <w:numPr>
          <w:ilvl w:val="2"/>
          <w:numId w:val="22"/>
        </w:numPr>
        <w:ind w:left="709"/>
      </w:pPr>
      <w:r>
        <w:rPr>
          <w:rFonts w:eastAsia="Calibri"/>
          <w:b/>
          <w:sz w:val="24"/>
          <w:lang w:eastAsia="en-US"/>
        </w:rPr>
        <w:t xml:space="preserve">Расчет кадастровой стоимости земельных участков, отнесенных по виду разрешенного </w:t>
      </w:r>
      <w:r>
        <w:rPr>
          <w:rFonts w:eastAsia="Calibri"/>
          <w:b/>
          <w:sz w:val="24"/>
          <w:lang w:eastAsia="en-US"/>
        </w:rPr>
        <w:t>использования к сегменту «Транспорт":</w:t>
      </w:r>
      <w:r>
        <w:t xml:space="preserve"> </w:t>
      </w:r>
      <w:r>
        <w:rPr>
          <w:rFonts w:eastAsia="Calibri"/>
          <w:b/>
          <w:sz w:val="24"/>
          <w:lang w:eastAsia="en-US"/>
        </w:rPr>
        <w:t>02:071, 04:021, 04:031, 04:090, 04:091, 04:092, 04:093, 04:094, 07:000, 07:023, 07:024</w:t>
      </w:r>
    </w:p>
    <w:p w:rsidR="00E85D42" w:rsidRDefault="008113B9">
      <w:pPr>
        <w:ind w:firstLine="709"/>
        <w:jc w:val="both"/>
      </w:pPr>
      <w:r>
        <w:rPr>
          <w:rStyle w:val="inlinelabel"/>
          <w:bCs/>
          <w:color w:val="212529"/>
          <w:sz w:val="24"/>
          <w:szCs w:val="24"/>
        </w:rPr>
        <w:t xml:space="preserve">В соответствии с  п.п. 9.2.2.6.2 Указаний, расчет кадастровой стоимости земельных участков осуществляется на основе построения </w:t>
      </w:r>
      <w:r>
        <w:rPr>
          <w:rStyle w:val="inlinelabel"/>
          <w:bCs/>
          <w:color w:val="212529"/>
          <w:sz w:val="24"/>
          <w:szCs w:val="24"/>
        </w:rPr>
        <w:t xml:space="preserve">статистических (регрессионных) моделей, с использованием типового (эталонного) объекта и (или) индивидуально в отношении объекта недвижимости. </w:t>
      </w:r>
    </w:p>
    <w:p w:rsidR="00E85D42" w:rsidRDefault="008113B9">
      <w:pPr>
        <w:ind w:firstLine="709"/>
        <w:jc w:val="both"/>
      </w:pPr>
      <w:r>
        <w:rPr>
          <w:rStyle w:val="inlinelabel"/>
          <w:bCs/>
          <w:color w:val="212529"/>
          <w:sz w:val="24"/>
          <w:szCs w:val="24"/>
        </w:rPr>
        <w:t>Для сегмента рынка объектов недвижимости, был осуществлен сбор и обработка рыночной информации о ценах сделок (п</w:t>
      </w:r>
      <w:r>
        <w:rPr>
          <w:rStyle w:val="inlinelabel"/>
          <w:bCs/>
          <w:color w:val="212529"/>
          <w:sz w:val="24"/>
          <w:szCs w:val="24"/>
        </w:rPr>
        <w:t>редложений) о продаже земельных участков под объекты гаражного назначения, расположенных в городах Республики Башкортостан в количестве, достаточном для использования метода, основанного на построении статистических (регрессионных) моделей.</w:t>
      </w:r>
    </w:p>
    <w:p w:rsidR="00E85D42" w:rsidRDefault="008113B9">
      <w:pPr>
        <w:spacing w:after="120" w:line="276" w:lineRule="auto"/>
        <w:ind w:firstLine="709"/>
        <w:jc w:val="both"/>
        <w:rPr>
          <w:sz w:val="24"/>
        </w:rPr>
      </w:pPr>
      <w:r>
        <w:rPr>
          <w:sz w:val="24"/>
        </w:rPr>
        <w:t>На рынке недвиж</w:t>
      </w:r>
      <w:r>
        <w:rPr>
          <w:sz w:val="24"/>
        </w:rPr>
        <w:t>имости Республики Башкортостан представлены гаражи, автостоянки всех типов, однако подавляющее большинство – это индивидуальные одноэтажные гаражные боксы, выполненные из различных материалов: кирпич, железобетон, металл. Большинство сделок проходит именно</w:t>
      </w:r>
      <w:r>
        <w:rPr>
          <w:sz w:val="24"/>
        </w:rPr>
        <w:t xml:space="preserve"> в этом сегменте. </w:t>
      </w:r>
    </w:p>
    <w:p w:rsidR="00E85D42" w:rsidRDefault="008113B9">
      <w:pPr>
        <w:spacing w:after="120" w:line="276" w:lineRule="auto"/>
        <w:jc w:val="both"/>
        <w:rPr>
          <w:sz w:val="24"/>
        </w:rPr>
      </w:pPr>
      <w:r>
        <w:rPr>
          <w:sz w:val="24"/>
        </w:rPr>
        <w:t xml:space="preserve">Таким образом, в качестве объектов-аналогов принимались индивидуальные типовые гаражи, отдельно стоящие или сгруппированные на единой территории, крытые, небольшие, одноэтажные строения (боксы) для хранения автомашин. </w:t>
      </w:r>
    </w:p>
    <w:p w:rsidR="00E85D42" w:rsidRDefault="008113B9">
      <w:pPr>
        <w:spacing w:after="120" w:line="276" w:lineRule="auto"/>
        <w:jc w:val="both"/>
        <w:rPr>
          <w:sz w:val="24"/>
        </w:rPr>
      </w:pPr>
      <w:r>
        <w:rPr>
          <w:sz w:val="24"/>
        </w:rPr>
        <w:t>Для анализа ценово</w:t>
      </w:r>
      <w:r>
        <w:rPr>
          <w:sz w:val="24"/>
        </w:rPr>
        <w:t>й ситуации на рынке гаражей принимались только капитальные строения (металлические и деревянные гаражи не учитывались).</w:t>
      </w:r>
    </w:p>
    <w:p w:rsidR="00E85D42" w:rsidRDefault="008113B9">
      <w:pPr>
        <w:ind w:firstLine="720"/>
        <w:jc w:val="both"/>
      </w:pPr>
      <w:r>
        <w:rPr>
          <w:sz w:val="24"/>
        </w:rPr>
        <w:t>Для расчета земельных участков сегмента «Транспорт» использовалась информация о рыночной цене единых объектов недвижимости, включающих з</w:t>
      </w:r>
      <w:r>
        <w:rPr>
          <w:sz w:val="24"/>
        </w:rPr>
        <w:t>емельные участки.</w:t>
      </w:r>
    </w:p>
    <w:p w:rsidR="00E85D42" w:rsidRDefault="008113B9">
      <w:pPr>
        <w:spacing w:after="120" w:line="276" w:lineRule="auto"/>
        <w:jc w:val="both"/>
        <w:rPr>
          <w:sz w:val="24"/>
        </w:rPr>
      </w:pPr>
      <w:r>
        <w:rPr>
          <w:sz w:val="24"/>
        </w:rPr>
        <w:t>В результате анализа собранной рыночной информации Исполнителем было выявлено недостаточно данных для самостоятельного выдела доли земельных участков из единых объектов недвижимости. Размер доли стоимости земельного участка в рыночной сто</w:t>
      </w:r>
      <w:r>
        <w:rPr>
          <w:sz w:val="24"/>
        </w:rPr>
        <w:t xml:space="preserve">имости единого объекта недвижимости был взят из Приложения № 7 Указаний. </w:t>
      </w:r>
    </w:p>
    <w:p w:rsidR="00E85D42" w:rsidRDefault="008113B9">
      <w:pPr>
        <w:tabs>
          <w:tab w:val="right" w:pos="9072"/>
        </w:tabs>
        <w:spacing w:after="120" w:line="276" w:lineRule="auto"/>
        <w:jc w:val="both"/>
        <w:rPr>
          <w:sz w:val="24"/>
          <w:szCs w:val="24"/>
        </w:rPr>
      </w:pPr>
      <w:r>
        <w:rPr>
          <w:sz w:val="24"/>
          <w:szCs w:val="24"/>
        </w:rPr>
        <w:t xml:space="preserve">Для сопоставимости был введен ряд корректирующих коэффициентов. </w:t>
      </w:r>
    </w:p>
    <w:p w:rsidR="00E85D42" w:rsidRDefault="008113B9">
      <w:pPr>
        <w:tabs>
          <w:tab w:val="left" w:pos="900"/>
        </w:tabs>
        <w:spacing w:after="120" w:line="276" w:lineRule="auto"/>
        <w:jc w:val="both"/>
        <w:rPr>
          <w:sz w:val="24"/>
          <w:szCs w:val="24"/>
        </w:rPr>
      </w:pPr>
      <w:r>
        <w:rPr>
          <w:sz w:val="24"/>
          <w:szCs w:val="24"/>
        </w:rPr>
        <w:t>1. Корректировка на торг.</w:t>
      </w:r>
    </w:p>
    <w:p w:rsidR="00E85D42" w:rsidRDefault="008113B9">
      <w:pPr>
        <w:tabs>
          <w:tab w:val="right" w:pos="9072"/>
        </w:tabs>
        <w:spacing w:after="120" w:line="276" w:lineRule="auto"/>
        <w:jc w:val="both"/>
        <w:rPr>
          <w:sz w:val="24"/>
          <w:szCs w:val="24"/>
        </w:rPr>
      </w:pPr>
      <w:r>
        <w:rPr>
          <w:sz w:val="24"/>
          <w:szCs w:val="24"/>
        </w:rPr>
        <w:t>Стоимость объектов-аналогов является ценой предложения. Реальные цены, по которым заключают</w:t>
      </w:r>
      <w:r>
        <w:rPr>
          <w:sz w:val="24"/>
          <w:szCs w:val="24"/>
        </w:rPr>
        <w:t xml:space="preserve">ся договоры, как правило, ниже цен предложения. С учетом сложившейся практики в оценке объектов недвижимости и тенденции развития рынка недвижимости в РФ применение цен предложений является неизбежным. </w:t>
      </w:r>
    </w:p>
    <w:p w:rsidR="00E85D42" w:rsidRDefault="008113B9">
      <w:pPr>
        <w:tabs>
          <w:tab w:val="right" w:pos="9072"/>
        </w:tabs>
        <w:spacing w:after="120" w:line="276" w:lineRule="auto"/>
        <w:jc w:val="both"/>
      </w:pPr>
      <w:r>
        <w:rPr>
          <w:sz w:val="24"/>
          <w:szCs w:val="24"/>
        </w:rPr>
        <w:t>Корректировка на торг для единых объектов недвижимост</w:t>
      </w:r>
      <w:r>
        <w:rPr>
          <w:sz w:val="24"/>
          <w:szCs w:val="24"/>
        </w:rPr>
        <w:t xml:space="preserve">и, согласно справочнику оценщика </w:t>
      </w:r>
      <w:r>
        <w:rPr>
          <w:rFonts w:eastAsia="Calibri"/>
          <w:sz w:val="24"/>
          <w:szCs w:val="24"/>
        </w:rPr>
        <w:t>недвижимости (Лейфер Л.А./ Справочник оценщика недвижимости - 2018. Производственно-складская недвижимость и сходные типы объектов)</w:t>
      </w:r>
      <w:r>
        <w:rPr>
          <w:sz w:val="24"/>
          <w:szCs w:val="24"/>
        </w:rPr>
        <w:t xml:space="preserve"> была принята в размере 17.4% (коэффициент для расчета 0,864). Корректировка для не застроен</w:t>
      </w:r>
      <w:r>
        <w:rPr>
          <w:sz w:val="24"/>
          <w:szCs w:val="24"/>
        </w:rPr>
        <w:t xml:space="preserve">ных земельных участков, согласно справочнику оценщика </w:t>
      </w:r>
      <w:r>
        <w:rPr>
          <w:rFonts w:eastAsia="Calibri"/>
          <w:sz w:val="24"/>
          <w:szCs w:val="24"/>
        </w:rPr>
        <w:t xml:space="preserve">недвижимости (Лейфер Л.А./ Справочник оценщика недвижимости - 2018. Земельные участки) </w:t>
      </w:r>
      <w:r>
        <w:rPr>
          <w:sz w:val="24"/>
          <w:szCs w:val="24"/>
        </w:rPr>
        <w:t>была принята в размере 14.4% (коэффициент для расчета 0,826).</w:t>
      </w:r>
    </w:p>
    <w:p w:rsidR="00E85D42" w:rsidRDefault="00E85D42">
      <w:pPr>
        <w:tabs>
          <w:tab w:val="right" w:pos="9072"/>
        </w:tabs>
        <w:spacing w:after="120" w:line="276" w:lineRule="auto"/>
        <w:jc w:val="center"/>
        <w:rPr>
          <w:rFonts w:eastAsia="Calibri"/>
          <w:i/>
          <w:sz w:val="24"/>
          <w:szCs w:val="24"/>
        </w:rPr>
      </w:pPr>
    </w:p>
    <w:p w:rsidR="00E85D42" w:rsidRDefault="00E85D42">
      <w:pPr>
        <w:tabs>
          <w:tab w:val="right" w:pos="9072"/>
        </w:tabs>
        <w:spacing w:after="120" w:line="276" w:lineRule="auto"/>
        <w:jc w:val="center"/>
        <w:rPr>
          <w:rFonts w:eastAsia="Calibri"/>
          <w:i/>
          <w:sz w:val="24"/>
          <w:szCs w:val="24"/>
        </w:rPr>
      </w:pPr>
    </w:p>
    <w:p w:rsidR="00E85D42" w:rsidRDefault="008113B9">
      <w:pPr>
        <w:tabs>
          <w:tab w:val="right" w:pos="9072"/>
        </w:tabs>
        <w:spacing w:after="120" w:line="276" w:lineRule="auto"/>
        <w:jc w:val="center"/>
      </w:pPr>
      <w:r>
        <w:rPr>
          <w:rFonts w:eastAsia="Calibri"/>
          <w:i/>
          <w:sz w:val="24"/>
          <w:szCs w:val="24"/>
        </w:rPr>
        <w:t>Таблица 3.6.7.1 Лейфер Л.А. Справочник оценщика нед</w:t>
      </w:r>
      <w:r>
        <w:rPr>
          <w:rFonts w:eastAsia="Calibri"/>
          <w:i/>
          <w:sz w:val="24"/>
          <w:szCs w:val="24"/>
        </w:rPr>
        <w:t>вижимости - 2018. Производственно-складская недвижимость и сходные типы объектов</w:t>
      </w:r>
    </w:p>
    <w:p w:rsidR="00E85D42" w:rsidRDefault="008113B9">
      <w:pPr>
        <w:tabs>
          <w:tab w:val="right" w:pos="9072"/>
        </w:tabs>
        <w:spacing w:after="120" w:line="276" w:lineRule="auto"/>
        <w:jc w:val="center"/>
      </w:pPr>
      <w:r>
        <w:rPr>
          <w:noProof/>
          <w:sz w:val="24"/>
          <w:szCs w:val="24"/>
        </w:rPr>
        <w:drawing>
          <wp:inline distT="0" distB="0" distL="0" distR="0">
            <wp:extent cx="2748302" cy="2683846"/>
            <wp:effectExtent l="0" t="0" r="0" b="2204"/>
            <wp:docPr id="146"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rcRect b="35816"/>
                    <a:stretch>
                      <a:fillRect/>
                    </a:stretch>
                  </pic:blipFill>
                  <pic:spPr>
                    <a:xfrm>
                      <a:off x="0" y="0"/>
                      <a:ext cx="2748302" cy="2683846"/>
                    </a:xfrm>
                    <a:prstGeom prst="rect">
                      <a:avLst/>
                    </a:prstGeom>
                    <a:noFill/>
                    <a:ln>
                      <a:noFill/>
                      <a:prstDash/>
                    </a:ln>
                  </pic:spPr>
                </pic:pic>
              </a:graphicData>
            </a:graphic>
          </wp:inline>
        </w:drawing>
      </w:r>
    </w:p>
    <w:p w:rsidR="00E85D42" w:rsidRDefault="00E85D42">
      <w:pPr>
        <w:tabs>
          <w:tab w:val="right" w:pos="9072"/>
        </w:tabs>
        <w:spacing w:after="120" w:line="276" w:lineRule="auto"/>
        <w:jc w:val="right"/>
        <w:rPr>
          <w:rFonts w:eastAsia="Calibri"/>
          <w:i/>
          <w:sz w:val="24"/>
          <w:szCs w:val="24"/>
        </w:rPr>
      </w:pPr>
    </w:p>
    <w:p w:rsidR="00E85D42" w:rsidRDefault="008113B9">
      <w:pPr>
        <w:tabs>
          <w:tab w:val="right" w:pos="9072"/>
        </w:tabs>
        <w:spacing w:after="120" w:line="276" w:lineRule="auto"/>
        <w:jc w:val="center"/>
        <w:rPr>
          <w:rFonts w:eastAsia="Calibri"/>
          <w:i/>
          <w:sz w:val="24"/>
          <w:szCs w:val="24"/>
        </w:rPr>
      </w:pPr>
      <w:r>
        <w:rPr>
          <w:rFonts w:eastAsia="Calibri"/>
          <w:i/>
          <w:sz w:val="24"/>
          <w:szCs w:val="24"/>
        </w:rPr>
        <w:t>Таблица 3.6.7.2 Лейфер Л.А. Справочник оценщика недвижимости - 2018. Земельные участки</w:t>
      </w:r>
    </w:p>
    <w:p w:rsidR="00E85D42" w:rsidRDefault="008113B9">
      <w:pPr>
        <w:tabs>
          <w:tab w:val="right" w:pos="9072"/>
        </w:tabs>
        <w:spacing w:after="120" w:line="276" w:lineRule="auto"/>
        <w:jc w:val="center"/>
      </w:pPr>
      <w:r>
        <w:rPr>
          <w:noProof/>
          <w:sz w:val="24"/>
          <w:szCs w:val="24"/>
        </w:rPr>
        <w:drawing>
          <wp:inline distT="0" distB="0" distL="0" distR="0">
            <wp:extent cx="3676646" cy="3228974"/>
            <wp:effectExtent l="0" t="0" r="4" b="0"/>
            <wp:docPr id="147" name="Рисунок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3676646" cy="3228974"/>
                    </a:xfrm>
                    <a:prstGeom prst="rect">
                      <a:avLst/>
                    </a:prstGeom>
                    <a:noFill/>
                    <a:ln>
                      <a:noFill/>
                      <a:prstDash/>
                    </a:ln>
                  </pic:spPr>
                </pic:pic>
              </a:graphicData>
            </a:graphic>
          </wp:inline>
        </w:drawing>
      </w:r>
    </w:p>
    <w:p w:rsidR="00E85D42" w:rsidRDefault="008113B9">
      <w:pPr>
        <w:tabs>
          <w:tab w:val="right" w:pos="9072"/>
        </w:tabs>
        <w:spacing w:after="120" w:line="276" w:lineRule="auto"/>
        <w:jc w:val="both"/>
        <w:rPr>
          <w:sz w:val="24"/>
          <w:szCs w:val="24"/>
        </w:rPr>
      </w:pPr>
      <w:r>
        <w:rPr>
          <w:sz w:val="24"/>
          <w:szCs w:val="24"/>
        </w:rPr>
        <w:t xml:space="preserve">2. Корректировка на долю стоимости земельного участка в стоимости единого объекта </w:t>
      </w:r>
      <w:r>
        <w:rPr>
          <w:sz w:val="24"/>
          <w:szCs w:val="24"/>
        </w:rPr>
        <w:t>недвижимости.</w:t>
      </w:r>
    </w:p>
    <w:p w:rsidR="00E85D42" w:rsidRDefault="008113B9">
      <w:pPr>
        <w:tabs>
          <w:tab w:val="right" w:pos="9072"/>
        </w:tabs>
        <w:spacing w:after="120" w:line="276" w:lineRule="auto"/>
        <w:jc w:val="both"/>
        <w:rPr>
          <w:sz w:val="24"/>
          <w:szCs w:val="24"/>
        </w:rPr>
      </w:pPr>
      <w:r>
        <w:rPr>
          <w:sz w:val="24"/>
          <w:szCs w:val="24"/>
        </w:rPr>
        <w:t>В качестве исходных данных использовались рыночные цены застроенных и не застроенных земельных участков. Доля стоимости земельного участка в стоимости единого объекта недвижимости определялась в соответствии с Методическими указаниями о госуд</w:t>
      </w:r>
      <w:r>
        <w:rPr>
          <w:sz w:val="24"/>
          <w:szCs w:val="24"/>
        </w:rPr>
        <w:t>арственной кадастровой оценке, утвержденными Приказом Минэкономразвития России от 12 мая 2017 года № 226, и принята в размере 25% от стоимости единого объекта недвижимости. Согласно которому доля стоимости земельного участка составляет 15-30% от общей стои</w:t>
      </w:r>
      <w:r>
        <w:rPr>
          <w:sz w:val="24"/>
          <w:szCs w:val="24"/>
        </w:rPr>
        <w:t>мости единого объекта недвижимости. Корректировка для застроенных земельных участков принята как среднее значение – 22,5% от стоимости предложения/сделки (коэффициент для расчета 0,225), для свободных земельных участков корректировка не проводилась.</w:t>
      </w:r>
    </w:p>
    <w:p w:rsidR="00E85D42" w:rsidRDefault="008113B9">
      <w:pPr>
        <w:tabs>
          <w:tab w:val="right" w:pos="9072"/>
        </w:tabs>
        <w:spacing w:after="120" w:line="276" w:lineRule="auto"/>
        <w:jc w:val="right"/>
        <w:rPr>
          <w:i/>
          <w:sz w:val="24"/>
          <w:szCs w:val="24"/>
        </w:rPr>
      </w:pPr>
      <w:r>
        <w:rPr>
          <w:i/>
          <w:sz w:val="24"/>
          <w:szCs w:val="24"/>
        </w:rPr>
        <w:t>Таблиц</w:t>
      </w:r>
      <w:r>
        <w:rPr>
          <w:i/>
          <w:sz w:val="24"/>
          <w:szCs w:val="24"/>
        </w:rPr>
        <w:t>а 3.6.7.3Методические указания о государственной кадастровой оценке, утвержденные Приказом Минэкономразвития России от 12 мая 2017 года № 226</w:t>
      </w:r>
    </w:p>
    <w:p w:rsidR="00E85D42" w:rsidRDefault="008113B9">
      <w:pPr>
        <w:tabs>
          <w:tab w:val="right" w:pos="9072"/>
        </w:tabs>
        <w:spacing w:after="120" w:line="276" w:lineRule="auto"/>
        <w:jc w:val="center"/>
      </w:pPr>
      <w:r>
        <w:rPr>
          <w:noProof/>
          <w:sz w:val="24"/>
          <w:szCs w:val="24"/>
        </w:rPr>
        <w:drawing>
          <wp:inline distT="0" distB="0" distL="0" distR="0">
            <wp:extent cx="3996814" cy="4387556"/>
            <wp:effectExtent l="0" t="0" r="3686" b="0"/>
            <wp:docPr id="148"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rcRect b="8794"/>
                    <a:stretch>
                      <a:fillRect/>
                    </a:stretch>
                  </pic:blipFill>
                  <pic:spPr>
                    <a:xfrm>
                      <a:off x="0" y="0"/>
                      <a:ext cx="3996814" cy="4387556"/>
                    </a:xfrm>
                    <a:prstGeom prst="rect">
                      <a:avLst/>
                    </a:prstGeom>
                    <a:noFill/>
                    <a:ln>
                      <a:noFill/>
                      <a:prstDash/>
                    </a:ln>
                  </pic:spPr>
                </pic:pic>
              </a:graphicData>
            </a:graphic>
          </wp:inline>
        </w:drawing>
      </w:r>
    </w:p>
    <w:p w:rsidR="00E85D42" w:rsidRDefault="008113B9">
      <w:pPr>
        <w:tabs>
          <w:tab w:val="right" w:pos="9072"/>
        </w:tabs>
        <w:spacing w:after="120" w:line="276" w:lineRule="auto"/>
        <w:jc w:val="both"/>
        <w:rPr>
          <w:sz w:val="24"/>
          <w:szCs w:val="24"/>
        </w:rPr>
      </w:pPr>
      <w:r>
        <w:rPr>
          <w:sz w:val="24"/>
          <w:szCs w:val="24"/>
        </w:rPr>
        <w:t>3. Корректировка на передаваемые имущественные права.</w:t>
      </w:r>
    </w:p>
    <w:p w:rsidR="00E85D42" w:rsidRDefault="008113B9">
      <w:pPr>
        <w:tabs>
          <w:tab w:val="right" w:pos="9072"/>
        </w:tabs>
        <w:spacing w:after="120" w:line="276" w:lineRule="auto"/>
        <w:jc w:val="both"/>
        <w:rPr>
          <w:sz w:val="24"/>
          <w:szCs w:val="24"/>
        </w:rPr>
      </w:pPr>
      <w:r>
        <w:rPr>
          <w:sz w:val="24"/>
          <w:szCs w:val="24"/>
        </w:rPr>
        <w:t xml:space="preserve">Правовой статус объекта недвижимости играет ключевую роль </w:t>
      </w:r>
      <w:r>
        <w:rPr>
          <w:sz w:val="24"/>
          <w:szCs w:val="24"/>
        </w:rPr>
        <w:t xml:space="preserve">в установлении его стоимости. Введение тех или иных ограничений на право собственности объективно снижает стоимость объекта недвижимости, а, следовательно, и цену продажи. </w:t>
      </w:r>
    </w:p>
    <w:p w:rsidR="00E85D42" w:rsidRDefault="008113B9">
      <w:pPr>
        <w:tabs>
          <w:tab w:val="right" w:pos="9072"/>
        </w:tabs>
        <w:spacing w:after="120" w:line="276" w:lineRule="auto"/>
        <w:jc w:val="both"/>
        <w:rPr>
          <w:rFonts w:eastAsia="Calibri"/>
          <w:sz w:val="24"/>
          <w:szCs w:val="24"/>
        </w:rPr>
      </w:pPr>
      <w:r>
        <w:rPr>
          <w:rFonts w:eastAsia="Calibri"/>
          <w:sz w:val="24"/>
          <w:szCs w:val="24"/>
        </w:rPr>
        <w:t xml:space="preserve">Корректировка принята в соответствии с данными специализированного справочника </w:t>
      </w:r>
      <w:r>
        <w:rPr>
          <w:rFonts w:eastAsia="Calibri"/>
          <w:sz w:val="24"/>
          <w:szCs w:val="24"/>
        </w:rPr>
        <w:t>оценщика недвижимости (Лейфер Л.А./ Справочник оценщика недвижимости - 2018. Земельные участки). Отношение цены земельных участков под индустриальную застройку в долгосрочной аренде к удельной цене аналогичных участков в собственности составляет 0,84. Корр</w:t>
      </w:r>
      <w:r>
        <w:rPr>
          <w:rFonts w:eastAsia="Calibri"/>
          <w:sz w:val="24"/>
          <w:szCs w:val="24"/>
        </w:rPr>
        <w:t>ектировка для объектов аналогов находящихся в аренде составила 1/0,84 = 1,19. Корректировка для объектов аналогов в собственности не проводилась.</w:t>
      </w:r>
    </w:p>
    <w:p w:rsidR="00E85D42" w:rsidRDefault="008113B9">
      <w:pPr>
        <w:tabs>
          <w:tab w:val="right" w:pos="9072"/>
        </w:tabs>
        <w:spacing w:after="120" w:line="276" w:lineRule="auto"/>
        <w:jc w:val="center"/>
        <w:rPr>
          <w:rFonts w:eastAsia="Calibri"/>
          <w:i/>
          <w:sz w:val="24"/>
          <w:szCs w:val="24"/>
        </w:rPr>
      </w:pPr>
      <w:r>
        <w:rPr>
          <w:rFonts w:eastAsia="Calibri"/>
          <w:i/>
          <w:sz w:val="24"/>
          <w:szCs w:val="24"/>
        </w:rPr>
        <w:t>Таблица 3.6.7.4 Лейфер Л.А. Справочник оценщика недвижимости - 2018. Земельные участки</w:t>
      </w:r>
    </w:p>
    <w:p w:rsidR="00E85D42" w:rsidRDefault="008113B9">
      <w:pPr>
        <w:tabs>
          <w:tab w:val="right" w:pos="9072"/>
        </w:tabs>
        <w:spacing w:after="120" w:line="276" w:lineRule="auto"/>
        <w:jc w:val="center"/>
      </w:pPr>
      <w:r>
        <w:rPr>
          <w:noProof/>
          <w:sz w:val="24"/>
          <w:szCs w:val="24"/>
        </w:rPr>
        <w:drawing>
          <wp:inline distT="0" distB="0" distL="0" distR="0">
            <wp:extent cx="2941496" cy="2232672"/>
            <wp:effectExtent l="0" t="0" r="0" b="0"/>
            <wp:docPr id="149"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rcRect t="5951" b="43202"/>
                    <a:stretch>
                      <a:fillRect/>
                    </a:stretch>
                  </pic:blipFill>
                  <pic:spPr>
                    <a:xfrm>
                      <a:off x="0" y="0"/>
                      <a:ext cx="2941496" cy="2232672"/>
                    </a:xfrm>
                    <a:prstGeom prst="rect">
                      <a:avLst/>
                    </a:prstGeom>
                    <a:noFill/>
                    <a:ln>
                      <a:noFill/>
                      <a:prstDash/>
                    </a:ln>
                  </pic:spPr>
                </pic:pic>
              </a:graphicData>
            </a:graphic>
          </wp:inline>
        </w:drawing>
      </w:r>
    </w:p>
    <w:p w:rsidR="00E85D42" w:rsidRDefault="00E85D42">
      <w:pPr>
        <w:tabs>
          <w:tab w:val="right" w:pos="9072"/>
        </w:tabs>
        <w:spacing w:after="120" w:line="276" w:lineRule="auto"/>
        <w:jc w:val="center"/>
        <w:rPr>
          <w:rFonts w:eastAsia="Calibri"/>
          <w:sz w:val="24"/>
          <w:szCs w:val="24"/>
        </w:rPr>
      </w:pPr>
    </w:p>
    <w:p w:rsidR="00E85D42" w:rsidRDefault="008113B9">
      <w:pPr>
        <w:spacing w:line="276" w:lineRule="auto"/>
        <w:jc w:val="both"/>
        <w:rPr>
          <w:sz w:val="24"/>
          <w:szCs w:val="24"/>
        </w:rPr>
      </w:pPr>
      <w:r>
        <w:rPr>
          <w:sz w:val="24"/>
          <w:szCs w:val="24"/>
        </w:rPr>
        <w:t>Для объектов-аналого</w:t>
      </w:r>
      <w:r>
        <w:rPr>
          <w:sz w:val="24"/>
          <w:szCs w:val="24"/>
        </w:rPr>
        <w:t>в, по которым нет уточненных данных о площади земельного участка, приходящегося на каждый из единых объектов недвижимости (гаражей), определялась исходя из нормативной площади земельных участков для индивидуальных гаражей. В соответствии со СП 42.13330.201</w:t>
      </w:r>
      <w:r>
        <w:rPr>
          <w:sz w:val="24"/>
          <w:szCs w:val="24"/>
        </w:rPr>
        <w:t xml:space="preserve">1 «Градостроительство. Планировка и застройка городских и сельских поселений. Актуализированная редакция СНиП 2.07.01-89*» размер земельных участков гаражей и стоянок легковых автомобилей для одноэтажных гаражей составляет 30 кв. м на 1 машиноместо. Таким </w:t>
      </w:r>
      <w:r>
        <w:rPr>
          <w:sz w:val="24"/>
          <w:szCs w:val="24"/>
        </w:rPr>
        <w:t xml:space="preserve">образом, плотность застройки для типичного гаража 4х6 м. составит 0,8. Поэтому расчет площади земельного участка под гараж осуществляется исходя из норматива 30 кв. м либо плотности застройки 0,8. </w:t>
      </w:r>
    </w:p>
    <w:p w:rsidR="00E85D42" w:rsidRDefault="008113B9">
      <w:pPr>
        <w:ind w:firstLine="709"/>
        <w:jc w:val="both"/>
      </w:pPr>
      <w:r>
        <w:rPr>
          <w:sz w:val="24"/>
          <w:szCs w:val="24"/>
        </w:rPr>
        <w:t>Согласно подпункта 7.2.1 Указаний, п</w:t>
      </w:r>
      <w:r>
        <w:rPr>
          <w:color w:val="212529"/>
          <w:sz w:val="24"/>
          <w:szCs w:val="24"/>
        </w:rPr>
        <w:t>од статистической моде</w:t>
      </w:r>
      <w:r>
        <w:rPr>
          <w:color w:val="212529"/>
          <w:sz w:val="24"/>
          <w:szCs w:val="24"/>
        </w:rPr>
        <w:t>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rsidR="00E85D42" w:rsidRDefault="008113B9">
      <w:pPr>
        <w:ind w:firstLine="709"/>
        <w:jc w:val="both"/>
        <w:rPr>
          <w:color w:val="212529"/>
          <w:sz w:val="24"/>
          <w:szCs w:val="24"/>
        </w:rPr>
      </w:pPr>
      <w:r>
        <w:rPr>
          <w:color w:val="212529"/>
          <w:sz w:val="24"/>
          <w:szCs w:val="24"/>
        </w:rPr>
        <w:t>Порядок подготовки и построения модели оценки кадастрово</w:t>
      </w:r>
      <w:r>
        <w:rPr>
          <w:color w:val="212529"/>
          <w:sz w:val="24"/>
          <w:szCs w:val="24"/>
        </w:rPr>
        <w:t>й стоимости включает:</w:t>
      </w:r>
    </w:p>
    <w:p w:rsidR="00E85D42" w:rsidRDefault="008113B9">
      <w:pPr>
        <w:ind w:firstLine="709"/>
        <w:jc w:val="both"/>
        <w:rPr>
          <w:color w:val="212529"/>
          <w:sz w:val="24"/>
          <w:szCs w:val="24"/>
        </w:rPr>
      </w:pPr>
      <w:r>
        <w:rPr>
          <w:color w:val="212529"/>
          <w:sz w:val="24"/>
          <w:szCs w:val="24"/>
        </w:rPr>
        <w:t xml:space="preserve">1) определение перечня ценообразующих факторов, описывающих влияние местоположения объектов недвижимости как составного фактора. </w:t>
      </w:r>
    </w:p>
    <w:p w:rsidR="00E85D42" w:rsidRDefault="008113B9">
      <w:pPr>
        <w:ind w:firstLine="709"/>
        <w:jc w:val="both"/>
      </w:pPr>
      <w:r>
        <w:rPr>
          <w:rFonts w:eastAsia="Calibri"/>
          <w:sz w:val="24"/>
          <w:lang w:eastAsia="en-US"/>
        </w:rPr>
        <w:t>На основе Примерного перечня ценообразующих факторов земельных участков (Приложение 3 к Методическим ука</w:t>
      </w:r>
      <w:r>
        <w:rPr>
          <w:rFonts w:eastAsia="Calibri"/>
          <w:sz w:val="24"/>
          <w:lang w:eastAsia="en-US"/>
        </w:rPr>
        <w:t>заниям) были определены факторы, которые в основном влияют на рыночную стоимость объектов оценки. Кроме того, введены дополнительные факторы, не предусмотренные Методическими указаниями. Описание, а также обоснование использования, либо отказа от использов</w:t>
      </w:r>
      <w:r>
        <w:rPr>
          <w:rFonts w:eastAsia="Calibri"/>
          <w:sz w:val="24"/>
          <w:lang w:eastAsia="en-US"/>
        </w:rPr>
        <w:t xml:space="preserve">ания ценообразующих факторов описаны в п.п. 3.1.7 настоящего Отчета. </w:t>
      </w:r>
      <w:r>
        <w:rPr>
          <w:color w:val="212529"/>
          <w:sz w:val="24"/>
          <w:szCs w:val="24"/>
        </w:rPr>
        <w:t xml:space="preserve">Описание объектов оценки в разрезе ценовых факторов представлен по форме таблицы «Транспорт. Описание объектов оценки в разрезе ценовых факторов» в Приложении 2. </w:t>
      </w:r>
    </w:p>
    <w:p w:rsidR="00E85D42" w:rsidRDefault="008113B9">
      <w:pPr>
        <w:ind w:firstLine="709"/>
        <w:jc w:val="both"/>
        <w:rPr>
          <w:color w:val="212529"/>
          <w:sz w:val="24"/>
          <w:szCs w:val="24"/>
        </w:rPr>
      </w:pPr>
      <w:r>
        <w:rPr>
          <w:color w:val="212529"/>
          <w:sz w:val="24"/>
          <w:szCs w:val="24"/>
        </w:rPr>
        <w:t>По фактору «Тип населенн</w:t>
      </w:r>
      <w:r>
        <w:rPr>
          <w:color w:val="212529"/>
          <w:sz w:val="24"/>
          <w:szCs w:val="24"/>
        </w:rPr>
        <w:t>ого пункта» объекты оценки были разделены на подгруппы:</w:t>
      </w:r>
    </w:p>
    <w:p w:rsidR="00E85D42" w:rsidRDefault="008113B9">
      <w:pPr>
        <w:jc w:val="both"/>
        <w:rPr>
          <w:color w:val="212529"/>
          <w:sz w:val="24"/>
        </w:rPr>
      </w:pPr>
      <w:r>
        <w:rPr>
          <w:color w:val="212529"/>
          <w:sz w:val="24"/>
        </w:rPr>
        <w:t>Земельные участки, предназначенные для размещения гаражей и автостоянок, расположенные в г. Уфа;</w:t>
      </w:r>
    </w:p>
    <w:p w:rsidR="00E85D42" w:rsidRDefault="008113B9">
      <w:pPr>
        <w:jc w:val="both"/>
        <w:rPr>
          <w:color w:val="212529"/>
          <w:sz w:val="24"/>
        </w:rPr>
      </w:pPr>
      <w:r>
        <w:rPr>
          <w:color w:val="212529"/>
          <w:sz w:val="24"/>
        </w:rPr>
        <w:t>Земельные участки, предназначенные для размещения гаражей и автостоянок, расположенные в Крупных города</w:t>
      </w:r>
      <w:r>
        <w:rPr>
          <w:color w:val="212529"/>
          <w:sz w:val="24"/>
        </w:rPr>
        <w:t>х Республики Башкортостан;</w:t>
      </w:r>
    </w:p>
    <w:p w:rsidR="00E85D42" w:rsidRDefault="008113B9">
      <w:pPr>
        <w:jc w:val="both"/>
        <w:rPr>
          <w:color w:val="212529"/>
          <w:sz w:val="24"/>
        </w:rPr>
      </w:pPr>
      <w:r>
        <w:rPr>
          <w:color w:val="212529"/>
          <w:sz w:val="24"/>
        </w:rPr>
        <w:t>Земельные участки, предназначенные для размещения гаражей и автостоянок, расположенные в Малых городах Республики Башкортостан;</w:t>
      </w:r>
    </w:p>
    <w:p w:rsidR="00E85D42" w:rsidRDefault="008113B9">
      <w:pPr>
        <w:jc w:val="both"/>
        <w:rPr>
          <w:color w:val="212529"/>
          <w:sz w:val="24"/>
        </w:rPr>
      </w:pPr>
      <w:r>
        <w:rPr>
          <w:color w:val="212529"/>
          <w:sz w:val="24"/>
        </w:rPr>
        <w:t>Земельные участки, предназначенные для размещения гаражей и автостоянок, расположенные в сельских нас</w:t>
      </w:r>
      <w:r>
        <w:rPr>
          <w:color w:val="212529"/>
          <w:sz w:val="24"/>
        </w:rPr>
        <w:t>еленных пунктах Республики Башкортостан.</w:t>
      </w:r>
    </w:p>
    <w:p w:rsidR="00E85D42" w:rsidRDefault="008113B9">
      <w:pPr>
        <w:autoSpaceDE w:val="0"/>
        <w:ind w:firstLine="720"/>
        <w:jc w:val="both"/>
        <w:rPr>
          <w:rFonts w:eastAsia="Calibri"/>
          <w:sz w:val="24"/>
          <w:lang w:eastAsia="en-US"/>
        </w:rPr>
      </w:pPr>
      <w:r>
        <w:rPr>
          <w:rFonts w:eastAsia="Calibri"/>
          <w:sz w:val="24"/>
          <w:lang w:eastAsia="en-US"/>
        </w:rPr>
        <w:t>В перечне земельных участков, отнесенных к сегменту «Транспорт», присутствуют земельные участки, не имеющие координат границ. Определение значений ценовых факторов для участков в городских населенных пунктах не пред</w:t>
      </w:r>
      <w:r>
        <w:rPr>
          <w:rFonts w:eastAsia="Calibri"/>
          <w:sz w:val="24"/>
          <w:lang w:eastAsia="en-US"/>
        </w:rPr>
        <w:t>ставляется возможным. Кроме того, имеются участки, кадастровый номер и сведения о местоположении, содержащиеся в ЕГРН не соответствуют их фактическому положению (земельные участки расположены за пределами границ населенных пунктов). Для такого случая оценщ</w:t>
      </w:r>
      <w:r>
        <w:rPr>
          <w:rFonts w:eastAsia="Calibri"/>
          <w:sz w:val="24"/>
          <w:lang w:eastAsia="en-US"/>
        </w:rPr>
        <w:t>иками введен дополнительный фактор «Графическая привязка» Данный фактор технический и используется для разделения участков в зависимости от технологии расчета. Участки, которые описаны в разрезе ценообразующих факторов, т.е. по которым имеется полная инфор</w:t>
      </w:r>
      <w:r>
        <w:rPr>
          <w:rFonts w:eastAsia="Calibri"/>
          <w:sz w:val="24"/>
          <w:lang w:eastAsia="en-US"/>
        </w:rPr>
        <w:t>мация (в том числе, рыночная), рассчитываются с использованием методов математического моделирования, для остальных участков значение УПКС принимается равным среднему значению УПКС в том же муниципальном районе, рассчитанному методом математического модели</w:t>
      </w:r>
      <w:r>
        <w:rPr>
          <w:rFonts w:eastAsia="Calibri"/>
          <w:sz w:val="24"/>
          <w:lang w:eastAsia="en-US"/>
        </w:rPr>
        <w:t xml:space="preserve">рования.  Земельные участки, расположенные в сельских населенных пунктах рассчитаны с учетом понижающего коэффициента к стоимости земельных участков сельских населенных пунктов, предназначенных для размещения индивидуальных жилых домов, личного подсобного </w:t>
      </w:r>
      <w:r>
        <w:rPr>
          <w:rFonts w:eastAsia="Calibri"/>
          <w:sz w:val="24"/>
          <w:lang w:eastAsia="en-US"/>
        </w:rPr>
        <w:t>хозяйства.</w:t>
      </w:r>
    </w:p>
    <w:p w:rsidR="00E85D42" w:rsidRDefault="008113B9">
      <w:pPr>
        <w:ind w:firstLine="709"/>
        <w:jc w:val="both"/>
        <w:rPr>
          <w:color w:val="212529"/>
          <w:sz w:val="24"/>
          <w:szCs w:val="24"/>
        </w:rPr>
      </w:pPr>
      <w:r>
        <w:rPr>
          <w:color w:val="212529"/>
          <w:sz w:val="24"/>
          <w:szCs w:val="24"/>
        </w:rPr>
        <w:t xml:space="preserve">2) определение состава ценообразующих факторов, включаемых в статистическую модель, с учетом местоположения объектов недвижимости; </w:t>
      </w:r>
    </w:p>
    <w:p w:rsidR="00E85D42" w:rsidRDefault="008113B9">
      <w:pPr>
        <w:autoSpaceDE w:val="0"/>
        <w:ind w:firstLine="709"/>
        <w:jc w:val="both"/>
        <w:rPr>
          <w:rFonts w:eastAsia="Calibri"/>
          <w:sz w:val="24"/>
          <w:lang w:eastAsia="en-US"/>
        </w:rPr>
      </w:pPr>
      <w:r>
        <w:rPr>
          <w:rFonts w:eastAsia="Calibri"/>
          <w:sz w:val="24"/>
          <w:lang w:eastAsia="en-US"/>
        </w:rPr>
        <w:t xml:space="preserve">Факторы, характеризующиеся наибольшим показателем коэффициента корреляции и оказывающие наибольшее влияние на </w:t>
      </w:r>
      <w:r>
        <w:rPr>
          <w:rFonts w:eastAsia="Calibri"/>
          <w:sz w:val="24"/>
          <w:lang w:eastAsia="en-US"/>
        </w:rPr>
        <w:t>стоимость объектов оценки подгрупп представлены в таблице.</w:t>
      </w:r>
    </w:p>
    <w:p w:rsidR="00E85D42" w:rsidRDefault="008113B9">
      <w:pPr>
        <w:pStyle w:val="Standarduser"/>
        <w:jc w:val="right"/>
      </w:pPr>
      <w:r>
        <w:t>Таблица 3.6.7.5</w:t>
      </w:r>
    </w:p>
    <w:tbl>
      <w:tblPr>
        <w:tblW w:w="9345" w:type="dxa"/>
        <w:tblCellMar>
          <w:left w:w="10" w:type="dxa"/>
          <w:right w:w="10" w:type="dxa"/>
        </w:tblCellMar>
        <w:tblLook w:val="04A0" w:firstRow="1" w:lastRow="0" w:firstColumn="1" w:lastColumn="0" w:noHBand="0" w:noVBand="1"/>
      </w:tblPr>
      <w:tblGrid>
        <w:gridCol w:w="3115"/>
        <w:gridCol w:w="3115"/>
        <w:gridCol w:w="3115"/>
      </w:tblGrid>
      <w:tr w:rsidR="00E85D42">
        <w:tblPrEx>
          <w:tblCellMar>
            <w:top w:w="0" w:type="dxa"/>
            <w:bottom w:w="0" w:type="dxa"/>
          </w:tblCellMar>
        </w:tblPrEx>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b/>
                <w:sz w:val="24"/>
                <w:lang w:eastAsia="en-US"/>
              </w:rPr>
            </w:pPr>
            <w:r>
              <w:rPr>
                <w:rFonts w:eastAsia="Calibri"/>
                <w:b/>
                <w:sz w:val="24"/>
                <w:lang w:eastAsia="en-US"/>
              </w:rPr>
              <w:t>Наименование подгруппы</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b/>
                <w:sz w:val="24"/>
                <w:lang w:eastAsia="en-US"/>
              </w:rPr>
            </w:pPr>
            <w:r>
              <w:rPr>
                <w:rFonts w:eastAsia="Calibri"/>
                <w:b/>
                <w:sz w:val="24"/>
                <w:lang w:eastAsia="en-US"/>
              </w:rPr>
              <w:t>Факторы, оказывающие наибольшее влияние на стоимость объектов оценки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rFonts w:eastAsia="Calibri"/>
                <w:b/>
                <w:sz w:val="24"/>
                <w:lang w:eastAsia="en-US"/>
              </w:rPr>
            </w:pPr>
            <w:r>
              <w:rPr>
                <w:rFonts w:eastAsia="Calibri"/>
                <w:b/>
                <w:sz w:val="24"/>
                <w:lang w:eastAsia="en-US"/>
              </w:rPr>
              <w:t>Корреляция</w:t>
            </w:r>
          </w:p>
        </w:tc>
      </w:tr>
      <w:tr w:rsidR="00E85D42">
        <w:tblPrEx>
          <w:tblCellMar>
            <w:top w:w="0" w:type="dxa"/>
            <w:bottom w:w="0" w:type="dxa"/>
          </w:tblCellMar>
        </w:tblPrEx>
        <w:trPr>
          <w:trHeight w:val="540"/>
        </w:trPr>
        <w:tc>
          <w:tcPr>
            <w:tcW w:w="31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pPr>
            <w:r>
              <w:rPr>
                <w:color w:val="212529"/>
                <w:sz w:val="24"/>
                <w:szCs w:val="24"/>
              </w:rPr>
              <w:t xml:space="preserve">Земельные участки, предназначенные для размещения гаражей и автостоянок, </w:t>
            </w:r>
            <w:r>
              <w:rPr>
                <w:color w:val="212529"/>
                <w:sz w:val="24"/>
                <w:szCs w:val="24"/>
              </w:rPr>
              <w:t>расположенные в г. Уфа</w:t>
            </w:r>
            <w:r>
              <w:rPr>
                <w:rFonts w:eastAsia="Calibri"/>
                <w:sz w:val="24"/>
                <w:lang w:eastAsia="en-US"/>
              </w:rPr>
              <w:t xml:space="preserve"> </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rPr>
                <w:color w:val="212529"/>
                <w:sz w:val="24"/>
                <w:szCs w:val="24"/>
              </w:rPr>
            </w:pPr>
            <w:r>
              <w:rPr>
                <w:color w:val="212529"/>
                <w:sz w:val="24"/>
                <w:szCs w:val="24"/>
              </w:rPr>
              <w:t>Расстояние до остановок общественного транспорта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autoSpaceDE w:val="0"/>
              <w:jc w:val="center"/>
              <w:rPr>
                <w:color w:val="212529"/>
                <w:sz w:val="24"/>
                <w:szCs w:val="24"/>
              </w:rPr>
            </w:pPr>
            <w:r>
              <w:rPr>
                <w:color w:val="212529"/>
                <w:sz w:val="24"/>
                <w:szCs w:val="24"/>
              </w:rPr>
              <w:t>0,75</w:t>
            </w:r>
          </w:p>
        </w:tc>
      </w:tr>
      <w:tr w:rsidR="00E85D42">
        <w:tblPrEx>
          <w:tblCellMar>
            <w:top w:w="0" w:type="dxa"/>
            <w:bottom w:w="0" w:type="dxa"/>
          </w:tblCellMar>
        </w:tblPrEx>
        <w:trPr>
          <w:trHeight w:val="540"/>
        </w:trPr>
        <w:tc>
          <w:tcPr>
            <w:tcW w:w="31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autoSpaceDE w:val="0"/>
              <w:jc w:val="both"/>
              <w:rPr>
                <w:rFonts w:eastAsia="Calibri"/>
                <w:sz w:val="24"/>
                <w:lang w:eastAsia="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rPr>
                <w:color w:val="212529"/>
                <w:sz w:val="24"/>
                <w:szCs w:val="24"/>
              </w:rPr>
            </w:pPr>
            <w:r>
              <w:rPr>
                <w:color w:val="212529"/>
                <w:sz w:val="24"/>
                <w:szCs w:val="24"/>
              </w:rPr>
              <w:t>Расстояние до остановок общественного транспорта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color w:val="212529"/>
                <w:sz w:val="24"/>
                <w:szCs w:val="24"/>
              </w:rPr>
            </w:pPr>
            <w:r>
              <w:rPr>
                <w:color w:val="212529"/>
                <w:sz w:val="24"/>
                <w:szCs w:val="24"/>
              </w:rPr>
              <w:t>0,91</w:t>
            </w:r>
          </w:p>
        </w:tc>
      </w:tr>
      <w:tr w:rsidR="00E85D42">
        <w:tblPrEx>
          <w:tblCellMar>
            <w:top w:w="0" w:type="dxa"/>
            <w:bottom w:w="0" w:type="dxa"/>
          </w:tblCellMar>
        </w:tblPrEx>
        <w:trPr>
          <w:trHeight w:val="540"/>
        </w:trPr>
        <w:tc>
          <w:tcPr>
            <w:tcW w:w="31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pPr>
            <w:r>
              <w:rPr>
                <w:color w:val="212529"/>
                <w:sz w:val="24"/>
                <w:szCs w:val="24"/>
              </w:rPr>
              <w:t xml:space="preserve">Земельные участки, предназначенные для размещения гаражей и автостоянок, расположенные в Крупных городах Республики </w:t>
            </w:r>
            <w:r>
              <w:rPr>
                <w:color w:val="212529"/>
                <w:sz w:val="24"/>
                <w:szCs w:val="24"/>
              </w:rPr>
              <w:t>Башкортостан</w:t>
            </w:r>
            <w:r>
              <w:rPr>
                <w:rFonts w:eastAsia="Calibri"/>
                <w:sz w:val="24"/>
                <w:lang w:eastAsia="en-US"/>
              </w:rPr>
              <w:t xml:space="preserve"> </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rPr>
                <w:color w:val="212529"/>
                <w:sz w:val="24"/>
                <w:szCs w:val="24"/>
              </w:rPr>
            </w:pPr>
            <w:r>
              <w:rPr>
                <w:color w:val="212529"/>
                <w:sz w:val="24"/>
                <w:szCs w:val="24"/>
              </w:rPr>
              <w:t>Расстояние до крупных торговых объектов</w:t>
            </w:r>
          </w:p>
          <w:p w:rsidR="00E85D42" w:rsidRDefault="00E85D42">
            <w:pPr>
              <w:autoSpaceDE w:val="0"/>
              <w:jc w:val="both"/>
              <w:rPr>
                <w:color w:val="212529"/>
                <w:sz w:val="24"/>
                <w:szCs w:val="24"/>
              </w:rPr>
            </w:pP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color w:val="212529"/>
                <w:sz w:val="24"/>
                <w:szCs w:val="24"/>
              </w:rPr>
            </w:pPr>
            <w:r>
              <w:rPr>
                <w:color w:val="212529"/>
                <w:sz w:val="24"/>
                <w:szCs w:val="24"/>
              </w:rPr>
              <w:t>0,58</w:t>
            </w:r>
          </w:p>
        </w:tc>
      </w:tr>
      <w:tr w:rsidR="00E85D42">
        <w:tblPrEx>
          <w:tblCellMar>
            <w:top w:w="0" w:type="dxa"/>
            <w:bottom w:w="0" w:type="dxa"/>
          </w:tblCellMar>
        </w:tblPrEx>
        <w:trPr>
          <w:trHeight w:val="480"/>
        </w:trPr>
        <w:tc>
          <w:tcPr>
            <w:tcW w:w="31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autoSpaceDE w:val="0"/>
              <w:jc w:val="both"/>
              <w:rPr>
                <w:rFonts w:eastAsia="Calibri"/>
                <w:sz w:val="24"/>
                <w:lang w:eastAsia="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rPr>
                <w:color w:val="212529"/>
                <w:sz w:val="24"/>
                <w:szCs w:val="24"/>
              </w:rPr>
            </w:pPr>
            <w:r>
              <w:rPr>
                <w:color w:val="212529"/>
                <w:sz w:val="24"/>
                <w:szCs w:val="24"/>
              </w:rPr>
              <w:t>Расстояние до общественно-делового центра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color w:val="212529"/>
                <w:sz w:val="24"/>
                <w:szCs w:val="24"/>
              </w:rPr>
            </w:pPr>
            <w:r>
              <w:rPr>
                <w:color w:val="212529"/>
                <w:sz w:val="24"/>
                <w:szCs w:val="24"/>
              </w:rPr>
              <w:t>0,82</w:t>
            </w:r>
          </w:p>
        </w:tc>
      </w:tr>
      <w:tr w:rsidR="00E85D42">
        <w:tblPrEx>
          <w:tblCellMar>
            <w:top w:w="0" w:type="dxa"/>
            <w:bottom w:w="0" w:type="dxa"/>
          </w:tblCellMar>
        </w:tblPrEx>
        <w:trPr>
          <w:trHeight w:val="480"/>
        </w:trPr>
        <w:tc>
          <w:tcPr>
            <w:tcW w:w="31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pPr>
            <w:r>
              <w:rPr>
                <w:color w:val="212529"/>
                <w:sz w:val="24"/>
                <w:szCs w:val="24"/>
              </w:rPr>
              <w:t>Земельные участки, предназначенные для размещения гаражей и автостоянок, расположенные в Малых городах Республики Башкортостан</w:t>
            </w:r>
            <w:r>
              <w:rPr>
                <w:rFonts w:eastAsia="Calibri"/>
                <w:sz w:val="24"/>
                <w:lang w:eastAsia="en-US"/>
              </w:rPr>
              <w:t xml:space="preserve"> </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rPr>
                <w:color w:val="212529"/>
                <w:sz w:val="24"/>
                <w:szCs w:val="24"/>
              </w:rPr>
            </w:pPr>
            <w:r>
              <w:rPr>
                <w:color w:val="212529"/>
                <w:sz w:val="24"/>
                <w:szCs w:val="24"/>
              </w:rPr>
              <w:t>Линия застройки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color w:val="212529"/>
                <w:sz w:val="24"/>
                <w:szCs w:val="24"/>
              </w:rPr>
            </w:pPr>
            <w:r>
              <w:rPr>
                <w:color w:val="212529"/>
                <w:sz w:val="24"/>
                <w:szCs w:val="24"/>
              </w:rPr>
              <w:t>0,88</w:t>
            </w:r>
          </w:p>
        </w:tc>
      </w:tr>
      <w:tr w:rsidR="00E85D42">
        <w:tblPrEx>
          <w:tblCellMar>
            <w:top w:w="0" w:type="dxa"/>
            <w:bottom w:w="0" w:type="dxa"/>
          </w:tblCellMar>
        </w:tblPrEx>
        <w:trPr>
          <w:trHeight w:val="555"/>
        </w:trPr>
        <w:tc>
          <w:tcPr>
            <w:tcW w:w="31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E85D42">
            <w:pPr>
              <w:autoSpaceDE w:val="0"/>
              <w:jc w:val="both"/>
              <w:rPr>
                <w:rFonts w:eastAsia="Calibri"/>
                <w:sz w:val="24"/>
                <w:lang w:eastAsia="en-US"/>
              </w:rPr>
            </w:pP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rPr>
                <w:color w:val="212529"/>
                <w:sz w:val="24"/>
                <w:szCs w:val="24"/>
              </w:rPr>
            </w:pPr>
            <w:r>
              <w:rPr>
                <w:color w:val="212529"/>
                <w:sz w:val="24"/>
                <w:szCs w:val="24"/>
              </w:rPr>
              <w:t>Расстояние до остановок общественного транспорта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rPr>
                <w:color w:val="212529"/>
                <w:sz w:val="24"/>
                <w:szCs w:val="24"/>
              </w:rPr>
            </w:pPr>
            <w:r>
              <w:rPr>
                <w:color w:val="212529"/>
                <w:sz w:val="24"/>
                <w:szCs w:val="24"/>
              </w:rPr>
              <w:t>0,56</w:t>
            </w:r>
          </w:p>
        </w:tc>
      </w:tr>
      <w:tr w:rsidR="00E85D42">
        <w:tblPrEx>
          <w:tblCellMar>
            <w:top w:w="0" w:type="dxa"/>
            <w:bottom w:w="0" w:type="dxa"/>
          </w:tblCellMar>
        </w:tblPrEx>
        <w:trPr>
          <w:trHeight w:val="555"/>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pPr>
            <w:r>
              <w:rPr>
                <w:color w:val="212529"/>
                <w:sz w:val="24"/>
                <w:szCs w:val="24"/>
              </w:rPr>
              <w:t>Земельные участки, предназначенные для размещения гаражей и автостоянок, расположенные в сельских населенных пунктах Республики Башкортостан</w:t>
            </w:r>
            <w:r>
              <w:rPr>
                <w:rFonts w:eastAsia="Calibri"/>
                <w:sz w:val="24"/>
                <w:lang w:eastAsia="en-US"/>
              </w:rPr>
              <w:t xml:space="preserve"> </w:t>
            </w:r>
          </w:p>
        </w:tc>
        <w:tc>
          <w:tcPr>
            <w:tcW w:w="6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autoSpaceDE w:val="0"/>
              <w:jc w:val="both"/>
              <w:rPr>
                <w:color w:val="212529"/>
                <w:sz w:val="24"/>
                <w:szCs w:val="24"/>
              </w:rPr>
            </w:pPr>
            <w:r>
              <w:rPr>
                <w:color w:val="212529"/>
                <w:sz w:val="24"/>
                <w:szCs w:val="24"/>
              </w:rPr>
              <w:t>Описание факторов приведено в разделе 3.6.13</w:t>
            </w:r>
          </w:p>
          <w:p w:rsidR="00E85D42" w:rsidRDefault="00E85D42">
            <w:pPr>
              <w:jc w:val="center"/>
              <w:rPr>
                <w:color w:val="212529"/>
                <w:sz w:val="24"/>
                <w:szCs w:val="24"/>
              </w:rPr>
            </w:pPr>
          </w:p>
        </w:tc>
      </w:tr>
    </w:tbl>
    <w:p w:rsidR="00E85D42" w:rsidRDefault="008113B9">
      <w:pPr>
        <w:autoSpaceDE w:val="0"/>
        <w:ind w:firstLine="709"/>
        <w:jc w:val="both"/>
      </w:pPr>
      <w:r>
        <w:rPr>
          <w:color w:val="212529"/>
          <w:sz w:val="24"/>
          <w:szCs w:val="24"/>
        </w:rPr>
        <w:t xml:space="preserve">3) </w:t>
      </w:r>
      <w:r>
        <w:rPr>
          <w:color w:val="212529"/>
          <w:sz w:val="24"/>
          <w:szCs w:val="24"/>
        </w:rPr>
        <w:t>определение общего вида функций, связывающих зависимую переменную с каждым из ценообразующих факторов;</w:t>
      </w:r>
      <w:r>
        <w:rPr>
          <w:rFonts w:eastAsia="Calibri"/>
          <w:sz w:val="24"/>
          <w:szCs w:val="24"/>
          <w:lang w:eastAsia="en-US"/>
        </w:rPr>
        <w:t xml:space="preserve"> </w:t>
      </w:r>
    </w:p>
    <w:p w:rsidR="00E85D42" w:rsidRDefault="008113B9">
      <w:pPr>
        <w:ind w:firstLine="709"/>
        <w:jc w:val="both"/>
        <w:rPr>
          <w:color w:val="212529"/>
          <w:sz w:val="24"/>
          <w:szCs w:val="24"/>
        </w:rPr>
      </w:pPr>
      <w:r>
        <w:rPr>
          <w:color w:val="212529"/>
          <w:sz w:val="24"/>
          <w:szCs w:val="24"/>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r>
        <w:rPr>
          <w:color w:val="212529"/>
          <w:sz w:val="24"/>
          <w:szCs w:val="24"/>
        </w:rPr>
        <w:t>;</w:t>
      </w:r>
    </w:p>
    <w:p w:rsidR="00E85D42" w:rsidRDefault="008113B9">
      <w:pPr>
        <w:ind w:firstLine="709"/>
        <w:jc w:val="both"/>
        <w:rPr>
          <w:color w:val="212529"/>
          <w:sz w:val="24"/>
          <w:szCs w:val="24"/>
        </w:rPr>
      </w:pPr>
      <w:r>
        <w:rPr>
          <w:color w:val="212529"/>
          <w:sz w:val="24"/>
          <w:szCs w:val="24"/>
        </w:rPr>
        <w:t>5) анализ показателей качества статистической модели.</w:t>
      </w:r>
    </w:p>
    <w:p w:rsidR="00E85D42" w:rsidRDefault="008113B9">
      <w:pPr>
        <w:pStyle w:val="Standarduser"/>
        <w:tabs>
          <w:tab w:val="left" w:pos="1134"/>
        </w:tabs>
        <w:spacing w:before="120" w:line="288" w:lineRule="auto"/>
        <w:ind w:firstLine="709"/>
        <w:jc w:val="both"/>
      </w:pPr>
      <w:r>
        <w:t>Для расчета</w:t>
      </w:r>
      <w:r>
        <w:rPr>
          <w:b/>
        </w:rPr>
        <w:t xml:space="preserve"> земельных участков, предназначенных для размещения гаражей и автостоянок, расположенных в г. Уфа </w:t>
      </w:r>
      <w:r>
        <w:t xml:space="preserve">выбрана </w:t>
      </w:r>
      <w:r>
        <w:rPr>
          <w:b/>
        </w:rPr>
        <w:t>линейная модель.</w:t>
      </w:r>
    </w:p>
    <w:p w:rsidR="00E85D42" w:rsidRDefault="008113B9">
      <w:pPr>
        <w:pStyle w:val="Standarduser"/>
        <w:jc w:val="right"/>
      </w:pPr>
      <w:r>
        <w:t>Таблица 3.6.7.6</w:t>
      </w:r>
    </w:p>
    <w:tbl>
      <w:tblPr>
        <w:tblW w:w="9714" w:type="dxa"/>
        <w:jc w:val="center"/>
        <w:tblCellMar>
          <w:left w:w="10" w:type="dxa"/>
          <w:right w:w="10" w:type="dxa"/>
        </w:tblCellMar>
        <w:tblLook w:val="04A0" w:firstRow="1" w:lastRow="0" w:firstColumn="1" w:lastColumn="0" w:noHBand="0" w:noVBand="1"/>
      </w:tblPr>
      <w:tblGrid>
        <w:gridCol w:w="2346"/>
        <w:gridCol w:w="773"/>
        <w:gridCol w:w="6595"/>
      </w:tblGrid>
      <w:tr w:rsidR="00E85D42">
        <w:tblPrEx>
          <w:tblCellMar>
            <w:top w:w="0" w:type="dxa"/>
            <w:bottom w:w="0" w:type="dxa"/>
          </w:tblCellMar>
        </w:tblPrEx>
        <w:trPr>
          <w:trHeight w:val="645"/>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Ценообразующий фактор</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 xml:space="preserve">№ </w:t>
            </w:r>
          </w:p>
        </w:tc>
        <w:tc>
          <w:tcPr>
            <w:tcW w:w="65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center"/>
              <w:rPr>
                <w:b/>
                <w:sz w:val="20"/>
                <w:szCs w:val="20"/>
              </w:rPr>
            </w:pPr>
            <w:r>
              <w:rPr>
                <w:b/>
                <w:sz w:val="20"/>
                <w:szCs w:val="20"/>
              </w:rPr>
              <w:t>Формула для расчета</w:t>
            </w:r>
          </w:p>
          <w:p w:rsidR="00E85D42" w:rsidRDefault="008113B9">
            <w:pPr>
              <w:pStyle w:val="Standarduser"/>
              <w:tabs>
                <w:tab w:val="left" w:pos="1134"/>
              </w:tabs>
              <w:spacing w:before="120" w:line="288" w:lineRule="auto"/>
              <w:jc w:val="both"/>
            </w:pPr>
            <w:r>
              <w:rPr>
                <w:sz w:val="20"/>
                <w:szCs w:val="20"/>
              </w:rPr>
              <w:t xml:space="preserve">Y = </w:t>
            </w:r>
            <w:r>
              <w:rPr>
                <w:sz w:val="20"/>
                <w:szCs w:val="20"/>
              </w:rPr>
              <w:t xml:space="preserve">763.69056630413 + 1189.9765967009876 * </w:t>
            </w:r>
            <w:r>
              <w:rPr>
                <w:sz w:val="20"/>
                <w:szCs w:val="20"/>
                <w:lang w:val="en-US"/>
              </w:rPr>
              <w:t>F</w:t>
            </w:r>
            <w:r>
              <w:rPr>
                <w:sz w:val="20"/>
                <w:szCs w:val="20"/>
              </w:rPr>
              <w:t xml:space="preserve">0 + 1080.9173189779053 * </w:t>
            </w:r>
            <w:r>
              <w:rPr>
                <w:sz w:val="20"/>
                <w:szCs w:val="20"/>
                <w:lang w:val="en-US"/>
              </w:rPr>
              <w:t>F</w:t>
            </w:r>
            <w:r>
              <w:rPr>
                <w:sz w:val="20"/>
                <w:szCs w:val="20"/>
              </w:rPr>
              <w:t>1</w:t>
            </w:r>
          </w:p>
        </w:tc>
      </w:tr>
      <w:tr w:rsidR="00E85D42">
        <w:tblPrEx>
          <w:tblCellMar>
            <w:top w:w="0" w:type="dxa"/>
            <w:bottom w:w="0" w:type="dxa"/>
          </w:tblCellMar>
        </w:tblPrEx>
        <w:trPr>
          <w:trHeight w:val="495"/>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Расстояние до остановок общественного транспорта</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0</w:t>
            </w:r>
          </w:p>
        </w:tc>
        <w:tc>
          <w:tcPr>
            <w:tcW w:w="65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5709.993520833334/(1897.9756000000002+X0)</w:t>
            </w:r>
          </w:p>
        </w:tc>
      </w:tr>
      <w:tr w:rsidR="00E85D42">
        <w:tblPrEx>
          <w:tblCellMar>
            <w:top w:w="0" w:type="dxa"/>
            <w:bottom w:w="0" w:type="dxa"/>
          </w:tblCellMar>
        </w:tblPrEx>
        <w:trPr>
          <w:trHeight w:val="495"/>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Расстояние до сетей газоснабжения</w:t>
            </w:r>
          </w:p>
        </w:tc>
        <w:tc>
          <w:tcPr>
            <w:tcW w:w="7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1</w:t>
            </w:r>
          </w:p>
        </w:tc>
        <w:tc>
          <w:tcPr>
            <w:tcW w:w="65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173.6480681818182 / (142.184 + X1)</w:t>
            </w:r>
          </w:p>
        </w:tc>
      </w:tr>
    </w:tbl>
    <w:p w:rsidR="00E85D42" w:rsidRDefault="00E85D42">
      <w:pPr>
        <w:pStyle w:val="Standarduser"/>
        <w:jc w:val="both"/>
      </w:pPr>
    </w:p>
    <w:p w:rsidR="00E85D42" w:rsidRDefault="008113B9">
      <w:pPr>
        <w:pStyle w:val="Standarduser"/>
        <w:jc w:val="both"/>
      </w:pPr>
      <w:r>
        <w:t xml:space="preserve">Далее в таблице </w:t>
      </w:r>
      <w:r>
        <w:t>приведен анализ качества модели:</w:t>
      </w:r>
    </w:p>
    <w:p w:rsidR="00E85D42" w:rsidRDefault="008113B9">
      <w:pPr>
        <w:pStyle w:val="Standarduser"/>
        <w:jc w:val="right"/>
      </w:pPr>
      <w:r>
        <w:t>Таблица 3.6.7.7</w:t>
      </w:r>
    </w:p>
    <w:tbl>
      <w:tblPr>
        <w:tblW w:w="9528" w:type="dxa"/>
        <w:tblCellMar>
          <w:left w:w="10" w:type="dxa"/>
          <w:right w:w="10" w:type="dxa"/>
        </w:tblCellMar>
        <w:tblLook w:val="04A0" w:firstRow="1" w:lastRow="0" w:firstColumn="1" w:lastColumn="0" w:noHBand="0" w:noVBand="1"/>
      </w:tblPr>
      <w:tblGrid>
        <w:gridCol w:w="1141"/>
        <w:gridCol w:w="1243"/>
        <w:gridCol w:w="1050"/>
        <w:gridCol w:w="1137"/>
        <w:gridCol w:w="1124"/>
        <w:gridCol w:w="1217"/>
        <w:gridCol w:w="1256"/>
        <w:gridCol w:w="1360"/>
      </w:tblGrid>
      <w:tr w:rsidR="00E85D42">
        <w:tblPrEx>
          <w:tblCellMar>
            <w:top w:w="0" w:type="dxa"/>
            <w:bottom w:w="0" w:type="dxa"/>
          </w:tblCellMar>
        </w:tblPrEx>
        <w:trPr>
          <w:tblHeader/>
        </w:trPr>
        <w:tc>
          <w:tcPr>
            <w:tcW w:w="114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b/>
                <w:bCs/>
                <w:color w:val="212529"/>
              </w:rPr>
            </w:pPr>
            <w:r>
              <w:rPr>
                <w:b/>
                <w:bCs/>
                <w:color w:val="212529"/>
              </w:rPr>
              <w:t>Функция</w:t>
            </w:r>
          </w:p>
        </w:tc>
        <w:tc>
          <w:tcPr>
            <w:tcW w:w="124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b/>
                <w:bCs/>
                <w:color w:val="212529"/>
              </w:rPr>
            </w:pPr>
            <w:r>
              <w:rPr>
                <w:b/>
                <w:bCs/>
                <w:color w:val="212529"/>
              </w:rPr>
              <w:t>Т-критерий Стьюдента</w:t>
            </w:r>
          </w:p>
        </w:tc>
        <w:tc>
          <w:tcPr>
            <w:tcW w:w="2341"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b/>
                <w:bCs/>
                <w:color w:val="212529"/>
              </w:rPr>
            </w:pPr>
            <w:r>
              <w:rPr>
                <w:b/>
                <w:bCs/>
                <w:color w:val="212529"/>
              </w:rPr>
              <w:t>Коэффициент детерминации</w:t>
            </w:r>
          </w:p>
        </w:tc>
        <w:tc>
          <w:tcPr>
            <w:tcW w:w="2616"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14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E85D42">
            <w:pPr>
              <w:spacing w:before="100" w:after="100"/>
              <w:jc w:val="center"/>
              <w:rPr>
                <w:b/>
                <w:bCs/>
                <w:color w:val="212529"/>
              </w:rPr>
            </w:pPr>
          </w:p>
        </w:tc>
        <w:tc>
          <w:tcPr>
            <w:tcW w:w="124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color w:val="212529"/>
              </w:rPr>
            </w:pPr>
            <w:r>
              <w:rPr>
                <w:color w:val="212529"/>
              </w:rPr>
              <w:t>Контрольная</w:t>
            </w:r>
          </w:p>
        </w:tc>
        <w:tc>
          <w:tcPr>
            <w:tcW w:w="1124"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color w:val="212529"/>
              </w:rPr>
            </w:pPr>
            <w:r>
              <w:rPr>
                <w:color w:val="212529"/>
              </w:rPr>
              <w:t>Обучающая</w:t>
            </w:r>
          </w:p>
        </w:tc>
        <w:tc>
          <w:tcPr>
            <w:tcW w:w="121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color w:val="212529"/>
              </w:rPr>
            </w:pPr>
            <w:r>
              <w:rPr>
                <w:color w:val="212529"/>
              </w:rPr>
              <w:t>Контрольная</w:t>
            </w:r>
          </w:p>
        </w:tc>
        <w:tc>
          <w:tcPr>
            <w:tcW w:w="125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color w:val="212529"/>
              </w:rPr>
            </w:pPr>
            <w:r>
              <w:rPr>
                <w:color w:val="212529"/>
              </w:rPr>
              <w:t>Обучающая</w:t>
            </w:r>
          </w:p>
        </w:tc>
        <w:tc>
          <w:tcPr>
            <w:tcW w:w="136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14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center"/>
          </w:tcPr>
          <w:p w:rsidR="00E85D42" w:rsidRDefault="008113B9">
            <w:pPr>
              <w:spacing w:before="100" w:after="100"/>
              <w:jc w:val="right"/>
              <w:rPr>
                <w:color w:val="212529"/>
              </w:rPr>
            </w:pPr>
            <w:r>
              <w:rPr>
                <w:color w:val="212529"/>
              </w:rPr>
              <w:t>Линейная функция</w:t>
            </w:r>
          </w:p>
        </w:tc>
        <w:tc>
          <w:tcPr>
            <w:tcW w:w="124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vAlign w:val="center"/>
          </w:tcPr>
          <w:p w:rsidR="00E85D42" w:rsidRDefault="008113B9">
            <w:pPr>
              <w:spacing w:before="100" w:after="100"/>
              <w:jc w:val="right"/>
              <w:rPr>
                <w:color w:val="212529"/>
              </w:rPr>
            </w:pPr>
            <w:r>
              <w:rPr>
                <w:color w:val="212529"/>
              </w:rPr>
              <w:t>56.08326</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vAlign w:val="center"/>
          </w:tcPr>
          <w:p w:rsidR="00E85D42" w:rsidRDefault="008113B9">
            <w:pPr>
              <w:spacing w:before="100" w:after="100"/>
              <w:jc w:val="right"/>
              <w:rPr>
                <w:color w:val="212529"/>
              </w:rPr>
            </w:pPr>
            <w:r>
              <w:rPr>
                <w:color w:val="212529"/>
              </w:rPr>
              <w:t>0</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vAlign w:val="center"/>
          </w:tcPr>
          <w:p w:rsidR="00E85D42" w:rsidRDefault="008113B9">
            <w:pPr>
              <w:spacing w:before="100" w:after="100"/>
              <w:jc w:val="right"/>
              <w:rPr>
                <w:color w:val="212529"/>
              </w:rPr>
            </w:pPr>
            <w:r>
              <w:rPr>
                <w:color w:val="212529"/>
              </w:rPr>
              <w:t>-0.85967</w:t>
            </w:r>
          </w:p>
        </w:tc>
        <w:tc>
          <w:tcPr>
            <w:tcW w:w="1124"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vAlign w:val="center"/>
          </w:tcPr>
          <w:p w:rsidR="00E85D42" w:rsidRDefault="008113B9">
            <w:pPr>
              <w:spacing w:before="100" w:after="100"/>
              <w:jc w:val="right"/>
              <w:rPr>
                <w:color w:val="212529"/>
              </w:rPr>
            </w:pPr>
            <w:r>
              <w:rPr>
                <w:color w:val="212529"/>
              </w:rPr>
              <w:t>0.73232</w:t>
            </w:r>
          </w:p>
        </w:tc>
        <w:tc>
          <w:tcPr>
            <w:tcW w:w="121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vAlign w:val="center"/>
          </w:tcPr>
          <w:p w:rsidR="00E85D42" w:rsidRDefault="008113B9">
            <w:pPr>
              <w:spacing w:before="100" w:after="100"/>
              <w:jc w:val="right"/>
              <w:rPr>
                <w:color w:val="212529"/>
              </w:rPr>
            </w:pPr>
            <w:r>
              <w:rPr>
                <w:color w:val="212529"/>
              </w:rPr>
              <w:t>0.64051</w:t>
            </w:r>
          </w:p>
        </w:tc>
        <w:tc>
          <w:tcPr>
            <w:tcW w:w="125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vAlign w:val="center"/>
          </w:tcPr>
          <w:p w:rsidR="00E85D42" w:rsidRDefault="008113B9">
            <w:pPr>
              <w:spacing w:before="100" w:after="100"/>
              <w:jc w:val="right"/>
              <w:rPr>
                <w:color w:val="212529"/>
              </w:rPr>
            </w:pPr>
            <w:r>
              <w:rPr>
                <w:color w:val="212529"/>
              </w:rPr>
              <w:t>0.12985</w:t>
            </w:r>
          </w:p>
        </w:tc>
        <w:tc>
          <w:tcPr>
            <w:tcW w:w="136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vAlign w:val="center"/>
          </w:tcPr>
          <w:p w:rsidR="00E85D42" w:rsidRDefault="008113B9">
            <w:pPr>
              <w:spacing w:before="100" w:after="100"/>
              <w:jc w:val="right"/>
              <w:rPr>
                <w:color w:val="212529"/>
              </w:rPr>
            </w:pPr>
            <w:r>
              <w:rPr>
                <w:color w:val="212529"/>
              </w:rPr>
              <w:t>0.13177</w:t>
            </w:r>
          </w:p>
        </w:tc>
      </w:tr>
    </w:tbl>
    <w:p w:rsidR="00E85D42" w:rsidRDefault="00E85D42">
      <w:pPr>
        <w:autoSpaceDE w:val="0"/>
        <w:ind w:firstLine="567"/>
        <w:jc w:val="both"/>
        <w:rPr>
          <w:rFonts w:eastAsia="Calibri"/>
          <w:sz w:val="24"/>
          <w:lang w:eastAsia="en-US"/>
        </w:rPr>
      </w:pPr>
    </w:p>
    <w:p w:rsidR="00E85D42" w:rsidRDefault="008113B9">
      <w:pPr>
        <w:pStyle w:val="Standarduser"/>
        <w:tabs>
          <w:tab w:val="left" w:pos="1134"/>
        </w:tabs>
        <w:spacing w:before="120" w:line="288" w:lineRule="auto"/>
        <w:ind w:firstLine="709"/>
        <w:jc w:val="both"/>
      </w:pPr>
      <w:r>
        <w:t>Для расчета</w:t>
      </w:r>
      <w:r>
        <w:rPr>
          <w:b/>
        </w:rPr>
        <w:t xml:space="preserve"> земельных участков, предназначенных для размещения гаражей и автостоянок, расположенных в крупных городах Республики Башкортостан </w:t>
      </w:r>
      <w:r>
        <w:t xml:space="preserve">выбрана </w:t>
      </w:r>
      <w:r>
        <w:rPr>
          <w:b/>
        </w:rPr>
        <w:t>линейная модель.</w:t>
      </w:r>
    </w:p>
    <w:p w:rsidR="00E85D42" w:rsidRDefault="008113B9">
      <w:pPr>
        <w:pStyle w:val="Standarduser"/>
        <w:jc w:val="right"/>
      </w:pPr>
      <w:r>
        <w:t>Таблица 3.6.7.8</w:t>
      </w:r>
    </w:p>
    <w:tbl>
      <w:tblPr>
        <w:tblW w:w="9714" w:type="dxa"/>
        <w:jc w:val="center"/>
        <w:tblCellMar>
          <w:left w:w="10" w:type="dxa"/>
          <w:right w:w="10" w:type="dxa"/>
        </w:tblCellMar>
        <w:tblLook w:val="04A0" w:firstRow="1" w:lastRow="0" w:firstColumn="1" w:lastColumn="0" w:noHBand="0" w:noVBand="1"/>
      </w:tblPr>
      <w:tblGrid>
        <w:gridCol w:w="2304"/>
        <w:gridCol w:w="763"/>
        <w:gridCol w:w="6647"/>
      </w:tblGrid>
      <w:tr w:rsidR="00E85D42">
        <w:tblPrEx>
          <w:tblCellMar>
            <w:top w:w="0" w:type="dxa"/>
            <w:bottom w:w="0" w:type="dxa"/>
          </w:tblCellMar>
        </w:tblPrEx>
        <w:trPr>
          <w:trHeight w:val="645"/>
          <w:jc w:val="center"/>
        </w:trPr>
        <w:tc>
          <w:tcPr>
            <w:tcW w:w="23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Ценообразующий фактор</w:t>
            </w:r>
          </w:p>
        </w:tc>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 xml:space="preserve">№ </w:t>
            </w:r>
          </w:p>
        </w:tc>
        <w:tc>
          <w:tcPr>
            <w:tcW w:w="6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center"/>
              <w:rPr>
                <w:b/>
                <w:sz w:val="20"/>
                <w:szCs w:val="20"/>
              </w:rPr>
            </w:pPr>
            <w:r>
              <w:rPr>
                <w:b/>
                <w:sz w:val="20"/>
                <w:szCs w:val="20"/>
              </w:rPr>
              <w:t>Формула для расчета</w:t>
            </w:r>
          </w:p>
          <w:p w:rsidR="00E85D42" w:rsidRDefault="008113B9">
            <w:pPr>
              <w:pStyle w:val="Standarduser"/>
              <w:tabs>
                <w:tab w:val="left" w:pos="1134"/>
              </w:tabs>
              <w:spacing w:before="120" w:line="288" w:lineRule="auto"/>
              <w:jc w:val="both"/>
            </w:pPr>
            <w:r>
              <w:rPr>
                <w:sz w:val="20"/>
                <w:szCs w:val="20"/>
              </w:rPr>
              <w:t xml:space="preserve">Y = 622.9526485266197 + 189.69731467979364 * </w:t>
            </w:r>
            <w:r>
              <w:rPr>
                <w:sz w:val="20"/>
                <w:szCs w:val="20"/>
                <w:lang w:val="en-US"/>
              </w:rPr>
              <w:t>F</w:t>
            </w:r>
            <w:r>
              <w:rPr>
                <w:sz w:val="20"/>
                <w:szCs w:val="20"/>
              </w:rPr>
              <w:t xml:space="preserve">0 + 766.9597944796294 * </w:t>
            </w:r>
            <w:r>
              <w:rPr>
                <w:sz w:val="20"/>
                <w:szCs w:val="20"/>
                <w:lang w:val="en-US"/>
              </w:rPr>
              <w:t>F</w:t>
            </w:r>
            <w:r>
              <w:rPr>
                <w:sz w:val="20"/>
                <w:szCs w:val="20"/>
              </w:rPr>
              <w:t>1</w:t>
            </w:r>
          </w:p>
        </w:tc>
      </w:tr>
      <w:tr w:rsidR="00E85D42">
        <w:tblPrEx>
          <w:tblCellMar>
            <w:top w:w="0" w:type="dxa"/>
            <w:bottom w:w="0" w:type="dxa"/>
          </w:tblCellMar>
        </w:tblPrEx>
        <w:trPr>
          <w:trHeight w:val="495"/>
          <w:jc w:val="center"/>
        </w:trPr>
        <w:tc>
          <w:tcPr>
            <w:tcW w:w="23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Расстояние до крупных торговых объектов</w:t>
            </w:r>
          </w:p>
        </w:tc>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0</w:t>
            </w:r>
          </w:p>
        </w:tc>
        <w:tc>
          <w:tcPr>
            <w:tcW w:w="6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1842.648205128205 / (842.6440000000001 + X0)</w:t>
            </w:r>
          </w:p>
        </w:tc>
      </w:tr>
      <w:tr w:rsidR="00E85D42">
        <w:tblPrEx>
          <w:tblCellMar>
            <w:top w:w="0" w:type="dxa"/>
            <w:bottom w:w="0" w:type="dxa"/>
          </w:tblCellMar>
        </w:tblPrEx>
        <w:trPr>
          <w:trHeight w:val="495"/>
          <w:jc w:val="center"/>
        </w:trPr>
        <w:tc>
          <w:tcPr>
            <w:tcW w:w="23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Расстояние до общественно-делового центра</w:t>
            </w:r>
          </w:p>
        </w:tc>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1</w:t>
            </w:r>
          </w:p>
        </w:tc>
        <w:tc>
          <w:tcPr>
            <w:tcW w:w="6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 xml:space="preserve">784.6120512820513 / </w:t>
            </w:r>
            <w:r>
              <w:rPr>
                <w:sz w:val="20"/>
                <w:szCs w:val="20"/>
              </w:rPr>
              <w:t>(438.02200000000005 + X1)</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3.6.7.9</w:t>
      </w:r>
    </w:p>
    <w:tbl>
      <w:tblPr>
        <w:tblW w:w="9528" w:type="dxa"/>
        <w:jc w:val="center"/>
        <w:tblCellMar>
          <w:left w:w="10" w:type="dxa"/>
          <w:right w:w="10" w:type="dxa"/>
        </w:tblCellMar>
        <w:tblLook w:val="04A0" w:firstRow="1" w:lastRow="0" w:firstColumn="1" w:lastColumn="0" w:noHBand="0" w:noVBand="1"/>
      </w:tblPr>
      <w:tblGrid>
        <w:gridCol w:w="1141"/>
        <w:gridCol w:w="1243"/>
        <w:gridCol w:w="1050"/>
        <w:gridCol w:w="1137"/>
        <w:gridCol w:w="1124"/>
        <w:gridCol w:w="1217"/>
        <w:gridCol w:w="1256"/>
        <w:gridCol w:w="1360"/>
      </w:tblGrid>
      <w:tr w:rsidR="00E85D42">
        <w:tblPrEx>
          <w:tblCellMar>
            <w:top w:w="0" w:type="dxa"/>
            <w:bottom w:w="0" w:type="dxa"/>
          </w:tblCellMar>
        </w:tblPrEx>
        <w:trPr>
          <w:tblHeade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24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341"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616"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24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4"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25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36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Линейная функция</w:t>
            </w:r>
          </w:p>
        </w:tc>
        <w:tc>
          <w:tcPr>
            <w:tcW w:w="124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35.04309</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0.8727</w:t>
            </w:r>
          </w:p>
        </w:tc>
        <w:tc>
          <w:tcPr>
            <w:tcW w:w="1124"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0.66065</w:t>
            </w:r>
          </w:p>
        </w:tc>
        <w:tc>
          <w:tcPr>
            <w:tcW w:w="121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0.73626</w:t>
            </w:r>
          </w:p>
        </w:tc>
        <w:tc>
          <w:tcPr>
            <w:tcW w:w="125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0.14445</w:t>
            </w:r>
          </w:p>
        </w:tc>
        <w:tc>
          <w:tcPr>
            <w:tcW w:w="136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0.14646</w:t>
            </w:r>
          </w:p>
        </w:tc>
      </w:tr>
    </w:tbl>
    <w:p w:rsidR="00E85D42" w:rsidRDefault="008113B9">
      <w:pPr>
        <w:pStyle w:val="Standarduser"/>
        <w:tabs>
          <w:tab w:val="left" w:pos="1134"/>
        </w:tabs>
        <w:spacing w:before="120" w:line="288" w:lineRule="auto"/>
        <w:ind w:firstLine="709"/>
        <w:jc w:val="both"/>
      </w:pPr>
      <w:r>
        <w:t>Для расчета</w:t>
      </w:r>
      <w:r>
        <w:rPr>
          <w:b/>
        </w:rPr>
        <w:t xml:space="preserve"> земельных участков, предназначенных для размещения гаражей и автостоянок, расположенных в малых городах Республики Башкортостан </w:t>
      </w:r>
      <w:r>
        <w:t xml:space="preserve">выбрана </w:t>
      </w:r>
      <w:r>
        <w:rPr>
          <w:b/>
        </w:rPr>
        <w:t>экспоненциальная модель.</w:t>
      </w:r>
    </w:p>
    <w:p w:rsidR="00E85D42" w:rsidRDefault="008113B9">
      <w:pPr>
        <w:pStyle w:val="Standarduser"/>
        <w:jc w:val="right"/>
      </w:pPr>
      <w:r>
        <w:t>Таблица 3.6.7.10</w:t>
      </w:r>
    </w:p>
    <w:tbl>
      <w:tblPr>
        <w:tblW w:w="9209" w:type="dxa"/>
        <w:jc w:val="center"/>
        <w:tblCellMar>
          <w:left w:w="10" w:type="dxa"/>
          <w:right w:w="10" w:type="dxa"/>
        </w:tblCellMar>
        <w:tblLook w:val="04A0" w:firstRow="1" w:lastRow="0" w:firstColumn="1" w:lastColumn="0" w:noHBand="0" w:noVBand="1"/>
      </w:tblPr>
      <w:tblGrid>
        <w:gridCol w:w="2830"/>
        <w:gridCol w:w="457"/>
        <w:gridCol w:w="5922"/>
      </w:tblGrid>
      <w:tr w:rsidR="00E85D42">
        <w:tblPrEx>
          <w:tblCellMar>
            <w:top w:w="0" w:type="dxa"/>
            <w:bottom w:w="0" w:type="dxa"/>
          </w:tblCellMar>
        </w:tblPrEx>
        <w:trPr>
          <w:trHeight w:val="645"/>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Ценообразующий фактор</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b/>
                <w:sz w:val="20"/>
                <w:szCs w:val="20"/>
              </w:rPr>
            </w:pPr>
            <w:r>
              <w:rPr>
                <w:b/>
                <w:sz w:val="20"/>
                <w:szCs w:val="20"/>
              </w:rPr>
              <w:t xml:space="preserve">№ </w:t>
            </w:r>
          </w:p>
        </w:tc>
        <w:tc>
          <w:tcPr>
            <w:tcW w:w="59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center"/>
              <w:rPr>
                <w:b/>
                <w:sz w:val="20"/>
                <w:szCs w:val="20"/>
              </w:rPr>
            </w:pPr>
            <w:r>
              <w:rPr>
                <w:b/>
                <w:sz w:val="20"/>
                <w:szCs w:val="20"/>
              </w:rPr>
              <w:t>Формула для расчета</w:t>
            </w:r>
          </w:p>
          <w:p w:rsidR="00E85D42" w:rsidRDefault="008113B9">
            <w:pPr>
              <w:pStyle w:val="Standarduser"/>
              <w:tabs>
                <w:tab w:val="left" w:pos="1134"/>
              </w:tabs>
              <w:spacing w:before="120" w:line="288" w:lineRule="auto"/>
              <w:jc w:val="both"/>
            </w:pPr>
            <w:r>
              <w:rPr>
                <w:sz w:val="20"/>
                <w:szCs w:val="20"/>
              </w:rPr>
              <w:t>Y = 224.75635030838689 * e</w:t>
            </w:r>
            <w:r>
              <w:rPr>
                <w:sz w:val="20"/>
                <w:szCs w:val="20"/>
                <w:vertAlign w:val="superscript"/>
              </w:rPr>
              <w:t>2.039514902179786 * F0 + 0.27347060720217675 * F1</w:t>
            </w:r>
          </w:p>
        </w:tc>
      </w:tr>
      <w:tr w:rsidR="00E85D42">
        <w:tblPrEx>
          <w:tblCellMar>
            <w:top w:w="0" w:type="dxa"/>
            <w:bottom w:w="0" w:type="dxa"/>
          </w:tblCellMar>
        </w:tblPrEx>
        <w:trPr>
          <w:trHeight w:val="495"/>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Линия застройки</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0</w:t>
            </w:r>
          </w:p>
        </w:tc>
        <w:tc>
          <w:tcPr>
            <w:tcW w:w="59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73.45423076923078 / (73.044 + X0)</w:t>
            </w:r>
          </w:p>
        </w:tc>
      </w:tr>
      <w:tr w:rsidR="00E85D42">
        <w:tblPrEx>
          <w:tblCellMar>
            <w:top w:w="0" w:type="dxa"/>
            <w:bottom w:w="0" w:type="dxa"/>
          </w:tblCellMar>
        </w:tblPrEx>
        <w:trPr>
          <w:trHeight w:val="495"/>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Расстояние до остановок общественного транспорта</w:t>
            </w:r>
          </w:p>
        </w:tc>
        <w:tc>
          <w:tcPr>
            <w:tcW w:w="4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pPr>
            <w:r>
              <w:rPr>
                <w:sz w:val="20"/>
                <w:szCs w:val="20"/>
                <w:lang w:val="en-US"/>
              </w:rPr>
              <w:t>F</w:t>
            </w:r>
            <w:r>
              <w:rPr>
                <w:sz w:val="20"/>
                <w:szCs w:val="20"/>
              </w:rPr>
              <w:t>1</w:t>
            </w:r>
          </w:p>
        </w:tc>
        <w:tc>
          <w:tcPr>
            <w:tcW w:w="59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tabs>
                <w:tab w:val="left" w:pos="1134"/>
              </w:tabs>
              <w:spacing w:before="120" w:line="288" w:lineRule="auto"/>
              <w:jc w:val="both"/>
              <w:rPr>
                <w:sz w:val="20"/>
                <w:szCs w:val="20"/>
              </w:rPr>
            </w:pPr>
            <w:r>
              <w:rPr>
                <w:sz w:val="20"/>
                <w:szCs w:val="20"/>
              </w:rPr>
              <w:t>411.65923076923076 / (136.994 + X1)</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3.6.7.11</w:t>
      </w:r>
    </w:p>
    <w:tbl>
      <w:tblPr>
        <w:tblW w:w="9528" w:type="dxa"/>
        <w:tblCellMar>
          <w:left w:w="10" w:type="dxa"/>
          <w:right w:w="10" w:type="dxa"/>
        </w:tblCellMar>
        <w:tblLook w:val="04A0" w:firstRow="1" w:lastRow="0" w:firstColumn="1" w:lastColumn="0" w:noHBand="0" w:noVBand="1"/>
      </w:tblPr>
      <w:tblGrid>
        <w:gridCol w:w="1737"/>
        <w:gridCol w:w="1023"/>
        <w:gridCol w:w="1050"/>
        <w:gridCol w:w="1137"/>
        <w:gridCol w:w="1076"/>
        <w:gridCol w:w="1166"/>
        <w:gridCol w:w="1123"/>
        <w:gridCol w:w="1216"/>
      </w:tblGrid>
      <w:tr w:rsidR="00E85D42">
        <w:tblPrEx>
          <w:tblCellMar>
            <w:top w:w="0" w:type="dxa"/>
            <w:bottom w:w="0" w:type="dxa"/>
          </w:tblCellMar>
        </w:tblPrEx>
        <w:trPr>
          <w:tblHeader/>
        </w:trPr>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7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6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26.14876</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0.14116</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1.01342</w:t>
            </w:r>
          </w:p>
        </w:tc>
        <w:tc>
          <w:tcPr>
            <w:tcW w:w="107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0.7855</w:t>
            </w:r>
          </w:p>
        </w:tc>
        <w:tc>
          <w:tcPr>
            <w:tcW w:w="116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0.60461</w:t>
            </w:r>
          </w:p>
        </w:tc>
        <w:tc>
          <w:tcPr>
            <w:tcW w:w="11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0.18983</w:t>
            </w:r>
          </w:p>
        </w:tc>
        <w:tc>
          <w:tcPr>
            <w:tcW w:w="121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0.16754</w:t>
            </w:r>
          </w:p>
        </w:tc>
      </w:tr>
    </w:tbl>
    <w:p w:rsidR="00E85D42" w:rsidRDefault="008113B9">
      <w:pPr>
        <w:autoSpaceDE w:val="0"/>
        <w:ind w:firstLine="567"/>
        <w:jc w:val="both"/>
        <w:rPr>
          <w:rFonts w:eastAsia="Calibri"/>
          <w:sz w:val="24"/>
          <w:lang w:eastAsia="en-US"/>
        </w:rPr>
      </w:pPr>
      <w:r>
        <w:rPr>
          <w:rFonts w:eastAsia="Calibri"/>
          <w:sz w:val="24"/>
          <w:lang w:eastAsia="en-US"/>
        </w:rPr>
        <w:t xml:space="preserve">Определение кадастровой стоимости земельных участков произведено на основе построения статистической модели оценки средствами Автоматизированной </w:t>
      </w:r>
      <w:r>
        <w:rPr>
          <w:rFonts w:eastAsia="Calibri"/>
          <w:sz w:val="24"/>
          <w:lang w:eastAsia="en-US"/>
        </w:rPr>
        <w:t>информационной системы обеспечения государственной кадастровой оценки «Расчет кадастровой стоимости (далее – АИС ГКО). Процесс расчета кадастровой стоимости осуществляется при выполнении всех условий, обеспечивающих качество построенной модели. Выбранная м</w:t>
      </w:r>
      <w:r>
        <w:rPr>
          <w:rFonts w:eastAsia="Calibri"/>
          <w:sz w:val="24"/>
          <w:lang w:eastAsia="en-US"/>
        </w:rPr>
        <w:t>одель отвечает требованиям статистической значимости и обладает наилучшими характеристиками в сравнении с другими статистически значимыми моделями. Данные, описывающие характеристики выбранной модели оценки приведены в Приложении 2 –«Расчет Моделирование».</w:t>
      </w:r>
    </w:p>
    <w:p w:rsidR="00E85D42" w:rsidRDefault="00E85D42">
      <w:pPr>
        <w:autoSpaceDE w:val="0"/>
        <w:ind w:firstLine="567"/>
        <w:jc w:val="both"/>
        <w:rPr>
          <w:rFonts w:eastAsia="Calibri"/>
          <w:sz w:val="24"/>
          <w:lang w:eastAsia="en-US"/>
        </w:rPr>
      </w:pPr>
    </w:p>
    <w:p w:rsidR="00E85D42" w:rsidRDefault="008113B9">
      <w:pPr>
        <w:pStyle w:val="8"/>
        <w:numPr>
          <w:ilvl w:val="2"/>
          <w:numId w:val="22"/>
        </w:numPr>
        <w:ind w:left="-11" w:firstLine="0"/>
      </w:pPr>
      <w:r>
        <w:rPr>
          <w:rFonts w:eastAsia="Calibri"/>
        </w:rPr>
        <w:tab/>
      </w:r>
      <w:r>
        <w:rPr>
          <w:rFonts w:eastAsia="Calibri"/>
          <w:b/>
          <w:sz w:val="24"/>
          <w:lang w:eastAsia="en-US"/>
        </w:rPr>
        <w:t>Расчет кадастровой стоимости земельных участков, отнесенных по виду разрешенного использования к сегменту «Обеспечение обороны и безопасности":</w:t>
      </w:r>
      <w:r>
        <w:t xml:space="preserve"> </w:t>
      </w:r>
      <w:r>
        <w:rPr>
          <w:rFonts w:eastAsia="Calibri"/>
          <w:b/>
          <w:sz w:val="24"/>
          <w:lang w:eastAsia="en-US"/>
        </w:rPr>
        <w:t>08:000, 08:020</w:t>
      </w:r>
    </w:p>
    <w:p w:rsidR="00E85D42" w:rsidRDefault="008113B9">
      <w:pPr>
        <w:autoSpaceDE w:val="0"/>
        <w:ind w:firstLine="567"/>
        <w:jc w:val="both"/>
        <w:rPr>
          <w:rFonts w:eastAsia="Calibri"/>
          <w:sz w:val="24"/>
          <w:lang w:eastAsia="en-US"/>
        </w:rPr>
      </w:pPr>
      <w:r>
        <w:rPr>
          <w:rFonts w:eastAsia="Calibri"/>
          <w:sz w:val="24"/>
          <w:lang w:eastAsia="en-US"/>
        </w:rPr>
        <w:t>В соответствии со ст. 93 Земельного Кодекса Российской Федерации, землями обороны и безопаснос</w:t>
      </w:r>
      <w:r>
        <w:rPr>
          <w:rFonts w:eastAsia="Calibri"/>
          <w:sz w:val="24"/>
          <w:lang w:eastAsia="en-US"/>
        </w:rPr>
        <w:t>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w:t>
      </w:r>
      <w:r>
        <w:rPr>
          <w:rFonts w:eastAsia="Calibri"/>
          <w:sz w:val="24"/>
          <w:lang w:eastAsia="en-US"/>
        </w:rPr>
        <w:t xml:space="preserve">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w:t>
      </w:r>
      <w:r>
        <w:rPr>
          <w:rFonts w:eastAsia="Calibri"/>
          <w:sz w:val="24"/>
          <w:lang w:eastAsia="en-US"/>
        </w:rPr>
        <w:t>рые возникли у участников земельных отношений по основаниям, предусмотренным настоящим Кодексом, федеральными законами.</w:t>
      </w:r>
    </w:p>
    <w:p w:rsidR="00E85D42" w:rsidRDefault="008113B9">
      <w:pPr>
        <w:autoSpaceDE w:val="0"/>
        <w:ind w:firstLine="567"/>
        <w:jc w:val="both"/>
        <w:rPr>
          <w:rFonts w:eastAsia="Calibri"/>
          <w:sz w:val="24"/>
          <w:lang w:eastAsia="en-US"/>
        </w:rPr>
      </w:pPr>
      <w:r>
        <w:rPr>
          <w:rFonts w:eastAsia="Calibri"/>
          <w:sz w:val="24"/>
          <w:lang w:eastAsia="en-US"/>
        </w:rPr>
        <w:t xml:space="preserve">Согласно п.4. ст. 27 Земельного кодекса, земельные участки данного сегмента изъяты из оборота. </w:t>
      </w:r>
    </w:p>
    <w:p w:rsidR="00E85D42" w:rsidRDefault="008113B9">
      <w:pPr>
        <w:autoSpaceDE w:val="0"/>
        <w:ind w:firstLine="567"/>
        <w:jc w:val="both"/>
        <w:rPr>
          <w:rFonts w:eastAsia="Calibri"/>
          <w:sz w:val="24"/>
          <w:lang w:eastAsia="en-US"/>
        </w:rPr>
      </w:pPr>
      <w:r>
        <w:rPr>
          <w:rFonts w:eastAsia="Calibri"/>
          <w:sz w:val="24"/>
          <w:lang w:eastAsia="en-US"/>
        </w:rPr>
        <w:t>Рынок земельных участков подобного назна</w:t>
      </w:r>
      <w:r>
        <w:rPr>
          <w:rFonts w:eastAsia="Calibri"/>
          <w:sz w:val="24"/>
          <w:lang w:eastAsia="en-US"/>
        </w:rPr>
        <w:t>чения отсутствует.</w:t>
      </w:r>
    </w:p>
    <w:p w:rsidR="00E85D42" w:rsidRDefault="008113B9">
      <w:pPr>
        <w:autoSpaceDE w:val="0"/>
        <w:ind w:firstLine="567"/>
        <w:jc w:val="both"/>
        <w:rPr>
          <w:rFonts w:eastAsia="Calibri"/>
          <w:sz w:val="24"/>
          <w:lang w:eastAsia="en-US"/>
        </w:rPr>
      </w:pPr>
      <w:r>
        <w:rPr>
          <w:rFonts w:eastAsia="Calibri"/>
          <w:sz w:val="24"/>
          <w:lang w:eastAsia="en-US"/>
        </w:rPr>
        <w:t>В соответствии с Методическими указаниями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w:t>
      </w:r>
      <w:r>
        <w:rPr>
          <w:rFonts w:eastAsia="Calibri"/>
          <w:sz w:val="24"/>
          <w:lang w:eastAsia="en-US"/>
        </w:rPr>
        <w:t>мление прав на земельный участок.</w:t>
      </w:r>
    </w:p>
    <w:p w:rsidR="00E85D42" w:rsidRDefault="008113B9">
      <w:pPr>
        <w:autoSpaceDE w:val="0"/>
        <w:ind w:firstLine="567"/>
        <w:jc w:val="both"/>
        <w:rPr>
          <w:rFonts w:eastAsia="Calibri"/>
          <w:sz w:val="24"/>
          <w:lang w:eastAsia="en-US"/>
        </w:rPr>
      </w:pPr>
      <w:r>
        <w:rPr>
          <w:rFonts w:eastAsia="Calibri"/>
          <w:sz w:val="24"/>
          <w:lang w:eastAsia="en-US"/>
        </w:rPr>
        <w:t>Определение кадастровой стоимости земельных участков осуществляется при проведении анализа возможности получения дохода.</w:t>
      </w:r>
    </w:p>
    <w:p w:rsidR="00E85D42" w:rsidRDefault="008113B9">
      <w:pPr>
        <w:widowControl w:val="0"/>
        <w:autoSpaceDE w:val="0"/>
        <w:ind w:firstLine="709"/>
        <w:jc w:val="both"/>
      </w:pPr>
      <w:r>
        <w:rPr>
          <w:sz w:val="24"/>
          <w:lang w:eastAsia="en-US"/>
        </w:rPr>
        <w:t xml:space="preserve">Кадастровая стоимость участков рассчитана затратным походом, </w:t>
      </w:r>
      <w:r>
        <w:rPr>
          <w:sz w:val="24"/>
        </w:rPr>
        <w:t xml:space="preserve">исходя из затрат на межевание и </w:t>
      </w:r>
      <w:r>
        <w:rPr>
          <w:sz w:val="24"/>
        </w:rPr>
        <w:t>оформление прав на них.</w:t>
      </w:r>
    </w:p>
    <w:p w:rsidR="00E85D42" w:rsidRDefault="008113B9">
      <w:pPr>
        <w:ind w:firstLine="709"/>
        <w:jc w:val="both"/>
      </w:pPr>
      <w:r>
        <w:rPr>
          <w:b/>
          <w:bCs/>
          <w:sz w:val="24"/>
        </w:rPr>
        <w:t xml:space="preserve">Расчет затрат на межевание и государственную регистрацию прав земельного участка </w:t>
      </w:r>
      <w:r>
        <w:rPr>
          <w:bCs/>
          <w:sz w:val="24"/>
        </w:rPr>
        <w:t xml:space="preserve">производился по формуле </w:t>
      </w:r>
    </w:p>
    <w:p w:rsidR="00E85D42" w:rsidRDefault="00E85D42">
      <w:pPr>
        <w:jc w:val="center"/>
        <w:rPr>
          <w:bCs/>
          <w:sz w:val="24"/>
          <w:szCs w:val="24"/>
        </w:rPr>
      </w:pPr>
    </w:p>
    <w:p w:rsidR="00E85D42" w:rsidRDefault="008113B9">
      <w:pPr>
        <w:jc w:val="center"/>
      </w:pPr>
      <w:r>
        <w:rPr>
          <w:bCs/>
          <w:sz w:val="24"/>
          <w:szCs w:val="24"/>
        </w:rPr>
        <w:t>С</w:t>
      </w:r>
      <w:r>
        <w:rPr>
          <w:bCs/>
          <w:sz w:val="24"/>
          <w:szCs w:val="24"/>
          <w:vertAlign w:val="subscript"/>
        </w:rPr>
        <w:t>зм и рег.пр.</w:t>
      </w:r>
      <w:r>
        <w:rPr>
          <w:bCs/>
          <w:sz w:val="24"/>
          <w:szCs w:val="24"/>
        </w:rPr>
        <w:t xml:space="preserve">= </w:t>
      </w:r>
      <w:r>
        <w:rPr>
          <w:bCs/>
          <w:sz w:val="24"/>
          <w:szCs w:val="24"/>
          <w:lang w:val="en-US"/>
        </w:rPr>
        <w:t>S</w:t>
      </w:r>
      <w:r>
        <w:rPr>
          <w:bCs/>
          <w:sz w:val="24"/>
          <w:szCs w:val="24"/>
          <w:vertAlign w:val="subscript"/>
        </w:rPr>
        <w:t>зу</w:t>
      </w:r>
      <w:r>
        <w:rPr>
          <w:bCs/>
          <w:sz w:val="24"/>
          <w:szCs w:val="24"/>
        </w:rPr>
        <w:t xml:space="preserve"> * С</w:t>
      </w:r>
      <w:r>
        <w:rPr>
          <w:bCs/>
          <w:sz w:val="24"/>
          <w:szCs w:val="24"/>
          <w:vertAlign w:val="subscript"/>
        </w:rPr>
        <w:t>зм</w:t>
      </w:r>
      <w:r>
        <w:rPr>
          <w:bCs/>
          <w:sz w:val="24"/>
          <w:szCs w:val="24"/>
        </w:rPr>
        <w:t xml:space="preserve"> </w:t>
      </w:r>
      <w:r>
        <w:rPr>
          <w:bCs/>
          <w:sz w:val="24"/>
          <w:szCs w:val="24"/>
          <w:vertAlign w:val="subscript"/>
        </w:rPr>
        <w:t xml:space="preserve">и г.рег.пр. (2019) </w:t>
      </w:r>
      <w:r>
        <w:rPr>
          <w:bCs/>
          <w:sz w:val="24"/>
          <w:szCs w:val="24"/>
        </w:rPr>
        <w:t>= S</w:t>
      </w:r>
      <w:r>
        <w:rPr>
          <w:bCs/>
          <w:sz w:val="24"/>
          <w:szCs w:val="24"/>
          <w:vertAlign w:val="subscript"/>
        </w:rPr>
        <w:t>зу</w:t>
      </w:r>
      <w:r>
        <w:rPr>
          <w:bCs/>
          <w:sz w:val="24"/>
          <w:szCs w:val="24"/>
        </w:rPr>
        <w:t xml:space="preserve"> *</w:t>
      </w:r>
      <w:r>
        <w:rPr>
          <w:sz w:val="24"/>
          <w:szCs w:val="24"/>
        </w:rPr>
        <w:t>116,75</w:t>
      </w:r>
      <w:r>
        <w:rPr>
          <w:bCs/>
          <w:sz w:val="24"/>
          <w:szCs w:val="24"/>
        </w:rPr>
        <w:t>*S</w:t>
      </w:r>
      <w:r>
        <w:rPr>
          <w:bCs/>
          <w:sz w:val="24"/>
          <w:szCs w:val="24"/>
          <w:vertAlign w:val="subscript"/>
        </w:rPr>
        <w:t>зу</w:t>
      </w:r>
      <w:r>
        <w:rPr>
          <w:bCs/>
          <w:sz w:val="24"/>
          <w:szCs w:val="24"/>
          <w:vertAlign w:val="superscript"/>
        </w:rPr>
        <w:t>-0,374</w:t>
      </w:r>
      <w:r>
        <w:rPr>
          <w:bCs/>
          <w:sz w:val="24"/>
          <w:szCs w:val="24"/>
        </w:rPr>
        <w:t xml:space="preserve"> , где</w:t>
      </w:r>
    </w:p>
    <w:p w:rsidR="00E85D42" w:rsidRDefault="00E85D42">
      <w:pPr>
        <w:jc w:val="center"/>
        <w:rPr>
          <w:bCs/>
          <w:sz w:val="24"/>
          <w:szCs w:val="24"/>
        </w:rPr>
      </w:pPr>
    </w:p>
    <w:p w:rsidR="00E85D42" w:rsidRDefault="008113B9">
      <w:r>
        <w:rPr>
          <w:bCs/>
          <w:sz w:val="24"/>
          <w:szCs w:val="24"/>
        </w:rPr>
        <w:t>С</w:t>
      </w:r>
      <w:r>
        <w:rPr>
          <w:bCs/>
          <w:sz w:val="24"/>
          <w:szCs w:val="24"/>
          <w:vertAlign w:val="subscript"/>
        </w:rPr>
        <w:t xml:space="preserve">зм и г.рег.пр.(2019) </w:t>
      </w:r>
      <w:r>
        <w:rPr>
          <w:bCs/>
          <w:sz w:val="24"/>
          <w:szCs w:val="24"/>
        </w:rPr>
        <w:t xml:space="preserve">– затраты на межевание и </w:t>
      </w:r>
      <w:r>
        <w:rPr>
          <w:bCs/>
          <w:sz w:val="24"/>
          <w:szCs w:val="24"/>
        </w:rPr>
        <w:t>государственную регистрацию прав земельных участков по состоянию на 01.01.2019г., руб./кв.м.</w:t>
      </w:r>
    </w:p>
    <w:p w:rsidR="00E85D42" w:rsidRDefault="008113B9">
      <w:r>
        <w:rPr>
          <w:b/>
          <w:bCs/>
          <w:sz w:val="24"/>
          <w:szCs w:val="24"/>
          <w:lang w:val="en-US"/>
        </w:rPr>
        <w:t>S</w:t>
      </w:r>
      <w:r>
        <w:rPr>
          <w:b/>
          <w:bCs/>
          <w:sz w:val="24"/>
          <w:szCs w:val="24"/>
          <w:vertAlign w:val="subscript"/>
        </w:rPr>
        <w:t>зу</w:t>
      </w:r>
      <w:r>
        <w:rPr>
          <w:bCs/>
          <w:sz w:val="24"/>
          <w:szCs w:val="24"/>
        </w:rPr>
        <w:t xml:space="preserve"> – площадь земельного участка, кв.м.</w:t>
      </w:r>
    </w:p>
    <w:p w:rsidR="00E85D42" w:rsidRDefault="00E85D42">
      <w:pPr>
        <w:jc w:val="both"/>
        <w:rPr>
          <w:sz w:val="24"/>
        </w:rPr>
      </w:pPr>
    </w:p>
    <w:p w:rsidR="00E85D42" w:rsidRDefault="008113B9">
      <w:pPr>
        <w:jc w:val="both"/>
        <w:rPr>
          <w:sz w:val="24"/>
        </w:rPr>
      </w:pPr>
      <w:r>
        <w:rPr>
          <w:sz w:val="24"/>
        </w:rPr>
        <w:t xml:space="preserve">Расчет земельных участков представлен в Приложении 2 - «Расчет Межевание». </w:t>
      </w:r>
    </w:p>
    <w:p w:rsidR="00E85D42" w:rsidRDefault="008113B9">
      <w:pPr>
        <w:autoSpaceDE w:val="0"/>
        <w:ind w:firstLine="720"/>
        <w:jc w:val="both"/>
        <w:rPr>
          <w:rFonts w:eastAsia="Calibri"/>
          <w:sz w:val="24"/>
          <w:lang w:eastAsia="en-US"/>
        </w:rPr>
      </w:pPr>
      <w:r>
        <w:rPr>
          <w:rFonts w:eastAsia="Calibri"/>
          <w:sz w:val="24"/>
          <w:lang w:eastAsia="en-US"/>
        </w:rPr>
        <w:t>Результаты определения кадастровой стоимости з</w:t>
      </w:r>
      <w:r>
        <w:rPr>
          <w:rFonts w:eastAsia="Calibri"/>
          <w:sz w:val="24"/>
          <w:lang w:eastAsia="en-US"/>
        </w:rPr>
        <w:t>емельных участков приводятся в Приложении 2 .</w:t>
      </w:r>
    </w:p>
    <w:p w:rsidR="00E85D42" w:rsidRDefault="00E85D42">
      <w:pPr>
        <w:autoSpaceDE w:val="0"/>
        <w:ind w:firstLine="567"/>
        <w:jc w:val="both"/>
        <w:rPr>
          <w:rFonts w:eastAsia="Calibri"/>
          <w:sz w:val="24"/>
          <w:lang w:eastAsia="en-US"/>
        </w:rPr>
      </w:pPr>
    </w:p>
    <w:p w:rsidR="00E85D42" w:rsidRDefault="008113B9">
      <w:pPr>
        <w:pStyle w:val="8"/>
        <w:numPr>
          <w:ilvl w:val="2"/>
          <w:numId w:val="22"/>
        </w:numPr>
        <w:ind w:left="709"/>
        <w:rPr>
          <w:rFonts w:eastAsia="Calibri"/>
          <w:b/>
          <w:sz w:val="24"/>
          <w:lang w:eastAsia="en-US"/>
        </w:rPr>
      </w:pPr>
      <w:r>
        <w:rPr>
          <w:rFonts w:eastAsia="Calibri"/>
          <w:b/>
          <w:sz w:val="24"/>
          <w:lang w:eastAsia="en-US"/>
        </w:rPr>
        <w:t>Расчет кадастровой стоимости земельных участков, отнесенных по виду разрешенного использования к сегменту «Охраняемые природные территории и благоустройство": 02:016, 02:032, 02:052, 02:062, 05:031, 09:000, 09</w:t>
      </w:r>
      <w:r>
        <w:rPr>
          <w:rFonts w:eastAsia="Calibri"/>
          <w:b/>
          <w:sz w:val="24"/>
          <w:lang w:eastAsia="en-US"/>
        </w:rPr>
        <w:t>:010, 09:020, 09:022, 12:002, 12:003, 13:022, 13:032</w:t>
      </w:r>
    </w:p>
    <w:p w:rsidR="00E85D42" w:rsidRDefault="008113B9">
      <w:pPr>
        <w:autoSpaceDE w:val="0"/>
        <w:ind w:firstLine="567"/>
        <w:jc w:val="both"/>
        <w:rPr>
          <w:rFonts w:eastAsia="Calibri"/>
          <w:sz w:val="24"/>
          <w:lang w:eastAsia="en-US"/>
        </w:rPr>
      </w:pPr>
      <w:r>
        <w:rPr>
          <w:rFonts w:eastAsia="Calibri"/>
          <w:sz w:val="24"/>
          <w:lang w:eastAsia="en-US"/>
        </w:rPr>
        <w:t>Согласно п.4. ст. 27 Земельного кодекса, земельные участки данного сегмента изъяты либо ограничены в обороте.</w:t>
      </w:r>
    </w:p>
    <w:p w:rsidR="00E85D42" w:rsidRDefault="008113B9">
      <w:pPr>
        <w:autoSpaceDE w:val="0"/>
        <w:ind w:firstLine="567"/>
        <w:jc w:val="both"/>
        <w:rPr>
          <w:rFonts w:eastAsia="Calibri"/>
          <w:sz w:val="24"/>
          <w:lang w:eastAsia="en-US"/>
        </w:rPr>
      </w:pPr>
      <w:r>
        <w:rPr>
          <w:rFonts w:eastAsia="Calibri"/>
          <w:sz w:val="24"/>
          <w:lang w:eastAsia="en-US"/>
        </w:rPr>
        <w:t>Рынок земельных участков подобного назначения отсутствует.</w:t>
      </w:r>
    </w:p>
    <w:p w:rsidR="00E85D42" w:rsidRDefault="008113B9">
      <w:pPr>
        <w:autoSpaceDE w:val="0"/>
        <w:ind w:firstLine="567"/>
        <w:jc w:val="both"/>
        <w:rPr>
          <w:rFonts w:eastAsia="Calibri"/>
          <w:sz w:val="24"/>
          <w:lang w:eastAsia="en-US"/>
        </w:rPr>
      </w:pPr>
      <w:r>
        <w:rPr>
          <w:rFonts w:eastAsia="Calibri"/>
          <w:sz w:val="24"/>
          <w:lang w:eastAsia="en-US"/>
        </w:rPr>
        <w:t>В соответствии с Методическими ука</w:t>
      </w:r>
      <w:r>
        <w:rPr>
          <w:rFonts w:eastAsia="Calibri"/>
          <w:sz w:val="24"/>
          <w:lang w:eastAsia="en-US"/>
        </w:rPr>
        <w:t>заниями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p w:rsidR="00E85D42" w:rsidRDefault="008113B9">
      <w:pPr>
        <w:autoSpaceDE w:val="0"/>
        <w:ind w:firstLine="567"/>
        <w:jc w:val="both"/>
        <w:rPr>
          <w:rFonts w:eastAsia="Calibri"/>
          <w:sz w:val="24"/>
          <w:lang w:eastAsia="en-US"/>
        </w:rPr>
      </w:pPr>
      <w:r>
        <w:rPr>
          <w:rFonts w:eastAsia="Calibri"/>
          <w:sz w:val="24"/>
          <w:lang w:eastAsia="en-US"/>
        </w:rPr>
        <w:t>Определение кадастр</w:t>
      </w:r>
      <w:r>
        <w:rPr>
          <w:rFonts w:eastAsia="Calibri"/>
          <w:sz w:val="24"/>
          <w:lang w:eastAsia="en-US"/>
        </w:rPr>
        <w:t>овой стоимости земельных участков осуществляется при проведении анализа возможности получения дохода.</w:t>
      </w:r>
    </w:p>
    <w:p w:rsidR="00E85D42" w:rsidRDefault="008113B9">
      <w:pPr>
        <w:widowControl w:val="0"/>
        <w:autoSpaceDE w:val="0"/>
        <w:ind w:firstLine="709"/>
        <w:jc w:val="both"/>
      </w:pPr>
      <w:r>
        <w:rPr>
          <w:sz w:val="24"/>
          <w:lang w:eastAsia="en-US"/>
        </w:rPr>
        <w:t xml:space="preserve">Кадастровая стоимость участков рассчитана затратным походом, </w:t>
      </w:r>
      <w:r>
        <w:rPr>
          <w:sz w:val="24"/>
        </w:rPr>
        <w:t>исходя из затрат на межевание и оформление прав на них.</w:t>
      </w:r>
    </w:p>
    <w:p w:rsidR="00E85D42" w:rsidRDefault="008113B9">
      <w:pPr>
        <w:ind w:firstLine="709"/>
        <w:jc w:val="both"/>
      </w:pPr>
      <w:r>
        <w:rPr>
          <w:b/>
          <w:bCs/>
          <w:sz w:val="24"/>
        </w:rPr>
        <w:t xml:space="preserve">Расчет затрат на межевание и </w:t>
      </w:r>
      <w:r>
        <w:rPr>
          <w:b/>
          <w:bCs/>
          <w:sz w:val="24"/>
        </w:rPr>
        <w:t xml:space="preserve">государственную регистрацию прав земельного участка </w:t>
      </w:r>
      <w:r>
        <w:rPr>
          <w:bCs/>
          <w:sz w:val="24"/>
        </w:rPr>
        <w:t xml:space="preserve">производился по формуле </w:t>
      </w:r>
    </w:p>
    <w:p w:rsidR="00E85D42" w:rsidRDefault="00E85D42">
      <w:pPr>
        <w:jc w:val="center"/>
        <w:rPr>
          <w:bCs/>
          <w:sz w:val="24"/>
          <w:szCs w:val="24"/>
        </w:rPr>
      </w:pPr>
    </w:p>
    <w:p w:rsidR="00E85D42" w:rsidRDefault="008113B9">
      <w:pPr>
        <w:jc w:val="center"/>
      </w:pPr>
      <w:r>
        <w:rPr>
          <w:bCs/>
          <w:sz w:val="24"/>
          <w:szCs w:val="24"/>
        </w:rPr>
        <w:t>С</w:t>
      </w:r>
      <w:r>
        <w:rPr>
          <w:bCs/>
          <w:sz w:val="24"/>
          <w:szCs w:val="24"/>
          <w:vertAlign w:val="subscript"/>
        </w:rPr>
        <w:t>зм и рег.пр.</w:t>
      </w:r>
      <w:r>
        <w:rPr>
          <w:bCs/>
          <w:sz w:val="24"/>
          <w:szCs w:val="24"/>
        </w:rPr>
        <w:t xml:space="preserve">= </w:t>
      </w:r>
      <w:r>
        <w:rPr>
          <w:bCs/>
          <w:sz w:val="24"/>
          <w:szCs w:val="24"/>
          <w:lang w:val="en-US"/>
        </w:rPr>
        <w:t>S</w:t>
      </w:r>
      <w:r>
        <w:rPr>
          <w:bCs/>
          <w:sz w:val="24"/>
          <w:szCs w:val="24"/>
          <w:vertAlign w:val="subscript"/>
        </w:rPr>
        <w:t>зу</w:t>
      </w:r>
      <w:r>
        <w:rPr>
          <w:bCs/>
          <w:sz w:val="24"/>
          <w:szCs w:val="24"/>
        </w:rPr>
        <w:t xml:space="preserve"> * С</w:t>
      </w:r>
      <w:r>
        <w:rPr>
          <w:bCs/>
          <w:sz w:val="24"/>
          <w:szCs w:val="24"/>
          <w:vertAlign w:val="subscript"/>
        </w:rPr>
        <w:t>зм</w:t>
      </w:r>
      <w:r>
        <w:rPr>
          <w:bCs/>
          <w:sz w:val="24"/>
          <w:szCs w:val="24"/>
        </w:rPr>
        <w:t xml:space="preserve"> </w:t>
      </w:r>
      <w:r>
        <w:rPr>
          <w:bCs/>
          <w:sz w:val="24"/>
          <w:szCs w:val="24"/>
          <w:vertAlign w:val="subscript"/>
        </w:rPr>
        <w:t xml:space="preserve">и г.рег.пр. (2019) </w:t>
      </w:r>
      <w:r>
        <w:rPr>
          <w:bCs/>
          <w:sz w:val="24"/>
          <w:szCs w:val="24"/>
        </w:rPr>
        <w:t>= S</w:t>
      </w:r>
      <w:r>
        <w:rPr>
          <w:bCs/>
          <w:sz w:val="24"/>
          <w:szCs w:val="24"/>
          <w:vertAlign w:val="subscript"/>
        </w:rPr>
        <w:t>зу</w:t>
      </w:r>
      <w:r>
        <w:rPr>
          <w:bCs/>
          <w:sz w:val="24"/>
          <w:szCs w:val="24"/>
        </w:rPr>
        <w:t xml:space="preserve"> *</w:t>
      </w:r>
      <w:r>
        <w:rPr>
          <w:sz w:val="24"/>
          <w:szCs w:val="24"/>
        </w:rPr>
        <w:t>116,75</w:t>
      </w:r>
      <w:r>
        <w:rPr>
          <w:bCs/>
          <w:sz w:val="24"/>
          <w:szCs w:val="24"/>
        </w:rPr>
        <w:t>*S</w:t>
      </w:r>
      <w:r>
        <w:rPr>
          <w:bCs/>
          <w:sz w:val="24"/>
          <w:szCs w:val="24"/>
          <w:vertAlign w:val="subscript"/>
        </w:rPr>
        <w:t>зу</w:t>
      </w:r>
      <w:r>
        <w:rPr>
          <w:bCs/>
          <w:sz w:val="24"/>
          <w:szCs w:val="24"/>
          <w:vertAlign w:val="superscript"/>
        </w:rPr>
        <w:t>-0,374</w:t>
      </w:r>
      <w:r>
        <w:rPr>
          <w:bCs/>
          <w:sz w:val="24"/>
          <w:szCs w:val="24"/>
        </w:rPr>
        <w:t xml:space="preserve"> , где</w:t>
      </w:r>
    </w:p>
    <w:p w:rsidR="00E85D42" w:rsidRDefault="00E85D42">
      <w:pPr>
        <w:jc w:val="center"/>
        <w:rPr>
          <w:bCs/>
          <w:sz w:val="24"/>
          <w:szCs w:val="24"/>
        </w:rPr>
      </w:pPr>
    </w:p>
    <w:p w:rsidR="00E85D42" w:rsidRDefault="008113B9">
      <w:r>
        <w:rPr>
          <w:bCs/>
          <w:sz w:val="24"/>
          <w:szCs w:val="24"/>
        </w:rPr>
        <w:t>С</w:t>
      </w:r>
      <w:r>
        <w:rPr>
          <w:bCs/>
          <w:sz w:val="24"/>
          <w:szCs w:val="24"/>
          <w:vertAlign w:val="subscript"/>
        </w:rPr>
        <w:t xml:space="preserve">зм и г.рег.пр.(2019) </w:t>
      </w:r>
      <w:r>
        <w:rPr>
          <w:bCs/>
          <w:sz w:val="24"/>
          <w:szCs w:val="24"/>
        </w:rPr>
        <w:t>– затраты на межевание и государственную регистрацию прав земельных участков по с</w:t>
      </w:r>
      <w:r>
        <w:rPr>
          <w:bCs/>
          <w:sz w:val="24"/>
          <w:szCs w:val="24"/>
        </w:rPr>
        <w:t>остоянию на 01.01.2019г., руб./кв.м.</w:t>
      </w:r>
    </w:p>
    <w:p w:rsidR="00E85D42" w:rsidRDefault="008113B9">
      <w:r>
        <w:rPr>
          <w:b/>
          <w:bCs/>
          <w:sz w:val="24"/>
          <w:szCs w:val="24"/>
          <w:lang w:val="en-US"/>
        </w:rPr>
        <w:t>S</w:t>
      </w:r>
      <w:r>
        <w:rPr>
          <w:b/>
          <w:bCs/>
          <w:sz w:val="24"/>
          <w:szCs w:val="24"/>
          <w:vertAlign w:val="subscript"/>
        </w:rPr>
        <w:t>зу</w:t>
      </w:r>
      <w:r>
        <w:rPr>
          <w:bCs/>
          <w:sz w:val="24"/>
          <w:szCs w:val="24"/>
        </w:rPr>
        <w:t xml:space="preserve"> – площадь земельного участка, кв.м.</w:t>
      </w:r>
    </w:p>
    <w:p w:rsidR="00E85D42" w:rsidRDefault="00E85D42">
      <w:pPr>
        <w:jc w:val="both"/>
        <w:rPr>
          <w:sz w:val="24"/>
        </w:rPr>
      </w:pPr>
    </w:p>
    <w:p w:rsidR="00E85D42" w:rsidRDefault="008113B9">
      <w:pPr>
        <w:jc w:val="both"/>
        <w:rPr>
          <w:sz w:val="24"/>
        </w:rPr>
      </w:pPr>
      <w:r>
        <w:rPr>
          <w:sz w:val="24"/>
        </w:rPr>
        <w:t xml:space="preserve">Расчет земельных участков представлен в Приложении 2 - «Расчет Межевание». </w:t>
      </w:r>
    </w:p>
    <w:p w:rsidR="00E85D42" w:rsidRDefault="008113B9">
      <w:pPr>
        <w:autoSpaceDE w:val="0"/>
        <w:ind w:firstLine="720"/>
        <w:jc w:val="both"/>
        <w:rPr>
          <w:rFonts w:eastAsia="Calibri"/>
          <w:sz w:val="24"/>
          <w:lang w:eastAsia="en-US"/>
        </w:rPr>
      </w:pPr>
      <w:r>
        <w:rPr>
          <w:rFonts w:eastAsia="Calibri"/>
          <w:sz w:val="24"/>
          <w:lang w:eastAsia="en-US"/>
        </w:rPr>
        <w:t>Результаты определения кадастровой стоимости земельных участков приводятся в Приложении 2 .</w:t>
      </w:r>
    </w:p>
    <w:p w:rsidR="00E85D42" w:rsidRDefault="008113B9">
      <w:pPr>
        <w:pStyle w:val="8"/>
        <w:numPr>
          <w:ilvl w:val="2"/>
          <w:numId w:val="22"/>
        </w:numPr>
        <w:ind w:left="-11" w:firstLine="0"/>
        <w:rPr>
          <w:rFonts w:eastAsia="Calibri"/>
          <w:b/>
          <w:sz w:val="24"/>
          <w:lang w:eastAsia="en-US"/>
        </w:rPr>
      </w:pPr>
      <w:r>
        <w:rPr>
          <w:rFonts w:eastAsia="Calibri"/>
          <w:b/>
          <w:sz w:val="24"/>
          <w:lang w:eastAsia="en-US"/>
        </w:rPr>
        <w:t xml:space="preserve">Расчет </w:t>
      </w:r>
      <w:r>
        <w:rPr>
          <w:rFonts w:eastAsia="Calibri"/>
          <w:b/>
          <w:sz w:val="24"/>
          <w:lang w:eastAsia="en-US"/>
        </w:rPr>
        <w:t>кадастровой стоимости земельных участков, отнесенных по виду разрешенного использования к сегменту «Использование лесов": 10:000, 10:010, 10:020, 10:030, 10:040</w:t>
      </w:r>
    </w:p>
    <w:p w:rsidR="00E85D42" w:rsidRDefault="00E85D42">
      <w:pPr>
        <w:pStyle w:val="ab"/>
        <w:autoSpaceDE w:val="0"/>
        <w:ind w:left="709"/>
        <w:jc w:val="both"/>
        <w:rPr>
          <w:rFonts w:eastAsia="Calibri"/>
          <w:sz w:val="24"/>
          <w:lang w:eastAsia="en-US"/>
        </w:rPr>
      </w:pPr>
    </w:p>
    <w:p w:rsidR="00E85D42" w:rsidRDefault="008113B9">
      <w:pPr>
        <w:ind w:firstLine="708"/>
        <w:jc w:val="both"/>
        <w:rPr>
          <w:sz w:val="24"/>
          <w:szCs w:val="24"/>
        </w:rPr>
      </w:pPr>
      <w:r>
        <w:rPr>
          <w:sz w:val="24"/>
          <w:szCs w:val="24"/>
        </w:rPr>
        <w:t xml:space="preserve">В соответствии с п.9.2.2.3.5. Указаний, определение кадастровой стоимости объектов оценки, </w:t>
      </w:r>
      <w:r>
        <w:rPr>
          <w:sz w:val="24"/>
          <w:szCs w:val="24"/>
        </w:rPr>
        <w:t>входящих в состав сегмента «Использование лесов», осуществляется в следующем порядке:</w:t>
      </w:r>
    </w:p>
    <w:p w:rsidR="00E85D42" w:rsidRDefault="008113B9">
      <w:pPr>
        <w:jc w:val="both"/>
        <w:rPr>
          <w:sz w:val="24"/>
          <w:szCs w:val="24"/>
        </w:rPr>
      </w:pPr>
      <w:r>
        <w:rPr>
          <w:sz w:val="24"/>
          <w:szCs w:val="24"/>
        </w:rPr>
        <w:tab/>
        <w:t>– определение основных лесообразующих пород на территории лесничеств Республики Башкортостан;</w:t>
      </w:r>
    </w:p>
    <w:p w:rsidR="00E85D42" w:rsidRDefault="008113B9">
      <w:pPr>
        <w:jc w:val="both"/>
        <w:rPr>
          <w:sz w:val="24"/>
          <w:szCs w:val="24"/>
        </w:rPr>
      </w:pPr>
      <w:r>
        <w:rPr>
          <w:sz w:val="24"/>
          <w:szCs w:val="24"/>
        </w:rPr>
        <w:tab/>
        <w:t>– определение продуктивности 1 гектара лесных земель по основным лесообраз</w:t>
      </w:r>
      <w:r>
        <w:rPr>
          <w:sz w:val="24"/>
          <w:szCs w:val="24"/>
        </w:rPr>
        <w:t>ующим породам в денежном выражении в разрезе лесничеств Республики Башкортостан;</w:t>
      </w:r>
    </w:p>
    <w:p w:rsidR="00E85D42" w:rsidRDefault="008113B9">
      <w:pPr>
        <w:jc w:val="both"/>
        <w:rPr>
          <w:sz w:val="24"/>
          <w:szCs w:val="24"/>
        </w:rPr>
      </w:pPr>
      <w:r>
        <w:rPr>
          <w:sz w:val="24"/>
          <w:szCs w:val="24"/>
        </w:rPr>
        <w:tab/>
        <w:t>– определение затрат для ведения лесного хозяйства;</w:t>
      </w:r>
    </w:p>
    <w:p w:rsidR="00E85D42" w:rsidRDefault="008113B9">
      <w:pPr>
        <w:jc w:val="both"/>
        <w:rPr>
          <w:sz w:val="24"/>
          <w:szCs w:val="24"/>
        </w:rPr>
      </w:pPr>
      <w:r>
        <w:rPr>
          <w:sz w:val="24"/>
          <w:szCs w:val="24"/>
        </w:rPr>
        <w:tab/>
        <w:t>– определение прибыли предпринимателя;</w:t>
      </w:r>
    </w:p>
    <w:p w:rsidR="00E85D42" w:rsidRDefault="008113B9">
      <w:pPr>
        <w:jc w:val="both"/>
        <w:rPr>
          <w:sz w:val="24"/>
          <w:szCs w:val="24"/>
        </w:rPr>
      </w:pPr>
      <w:r>
        <w:rPr>
          <w:sz w:val="24"/>
          <w:szCs w:val="24"/>
        </w:rPr>
        <w:tab/>
        <w:t>– определение удельного показателя рентного дохода по основным лесообразующим пор</w:t>
      </w:r>
      <w:r>
        <w:rPr>
          <w:sz w:val="24"/>
          <w:szCs w:val="24"/>
        </w:rPr>
        <w:t>одам в разрезе лесничеств Республики Башкортостан;</w:t>
      </w:r>
    </w:p>
    <w:p w:rsidR="00E85D42" w:rsidRDefault="008113B9">
      <w:pPr>
        <w:jc w:val="both"/>
        <w:rPr>
          <w:sz w:val="24"/>
          <w:szCs w:val="24"/>
        </w:rPr>
      </w:pPr>
      <w:r>
        <w:rPr>
          <w:sz w:val="24"/>
          <w:szCs w:val="24"/>
        </w:rPr>
        <w:tab/>
        <w:t>– определение значения коэффициента капитализации;</w:t>
      </w:r>
    </w:p>
    <w:p w:rsidR="00E85D42" w:rsidRDefault="008113B9">
      <w:pPr>
        <w:jc w:val="both"/>
        <w:rPr>
          <w:sz w:val="24"/>
          <w:szCs w:val="24"/>
        </w:rPr>
      </w:pPr>
      <w:r>
        <w:rPr>
          <w:sz w:val="24"/>
          <w:szCs w:val="24"/>
        </w:rPr>
        <w:tab/>
        <w:t>– расчет удельного показателя кадастровой стоимости земель лесного фонда по основным лесообразующим породам в разрезе лесничеств Республики Башкортостан</w:t>
      </w:r>
      <w:r>
        <w:rPr>
          <w:sz w:val="24"/>
          <w:szCs w:val="24"/>
        </w:rPr>
        <w:t xml:space="preserve"> путем деления удельного показателя рентного дохода на коэффициент капитализации;</w:t>
      </w:r>
    </w:p>
    <w:p w:rsidR="00E85D42" w:rsidRDefault="008113B9">
      <w:pPr>
        <w:jc w:val="both"/>
        <w:rPr>
          <w:sz w:val="24"/>
          <w:szCs w:val="24"/>
        </w:rPr>
      </w:pPr>
      <w:r>
        <w:rPr>
          <w:sz w:val="24"/>
          <w:szCs w:val="24"/>
        </w:rPr>
        <w:tab/>
        <w:t>– определение удельных показателей кадастровой стоимости земельных участков;</w:t>
      </w:r>
    </w:p>
    <w:p w:rsidR="00E85D42" w:rsidRDefault="008113B9">
      <w:pPr>
        <w:jc w:val="both"/>
        <w:rPr>
          <w:sz w:val="24"/>
          <w:szCs w:val="24"/>
        </w:rPr>
      </w:pPr>
      <w:r>
        <w:rPr>
          <w:sz w:val="24"/>
          <w:szCs w:val="24"/>
        </w:rPr>
        <w:tab/>
        <w:t>– определение кадастровой стоимости земельных участков.</w:t>
      </w:r>
    </w:p>
    <w:p w:rsidR="00E85D42" w:rsidRDefault="008113B9">
      <w:pPr>
        <w:jc w:val="center"/>
        <w:rPr>
          <w:i/>
          <w:sz w:val="24"/>
          <w:szCs w:val="24"/>
        </w:rPr>
      </w:pPr>
      <w:r>
        <w:rPr>
          <w:i/>
          <w:sz w:val="24"/>
          <w:szCs w:val="24"/>
        </w:rPr>
        <w:t>Определение основных лесообразующих пор</w:t>
      </w:r>
      <w:r>
        <w:rPr>
          <w:i/>
          <w:sz w:val="24"/>
          <w:szCs w:val="24"/>
        </w:rPr>
        <w:t>од на территории лесничеств Республики Башкортостан</w:t>
      </w:r>
    </w:p>
    <w:p w:rsidR="00E85D42" w:rsidRDefault="008113B9">
      <w:pPr>
        <w:jc w:val="both"/>
        <w:rPr>
          <w:sz w:val="24"/>
          <w:szCs w:val="24"/>
        </w:rPr>
      </w:pPr>
      <w:r>
        <w:rPr>
          <w:sz w:val="24"/>
          <w:szCs w:val="24"/>
        </w:rPr>
        <w:tab/>
        <w:t>Перечень основных лесообразующих пород для каждого лесничества сформирован на основе Формы 2-ГЛР «Распределение площади лесов и запасов древесины по преобладающим породам и группам возраста (на 01.01.201</w:t>
      </w:r>
      <w:r>
        <w:rPr>
          <w:sz w:val="24"/>
          <w:szCs w:val="24"/>
        </w:rPr>
        <w:t>9 г.)», предоставленной Министерством лесного хозяйства Республики Башкортостан: сосна, ель, лиственница, пихта, осина, ольха серая, ольха черная, берёза, вяз и другие ильмовые, дуб, клен, липа.</w:t>
      </w:r>
    </w:p>
    <w:p w:rsidR="00E85D42" w:rsidRDefault="00E85D42">
      <w:pPr>
        <w:jc w:val="center"/>
        <w:rPr>
          <w:i/>
          <w:sz w:val="24"/>
          <w:szCs w:val="24"/>
        </w:rPr>
      </w:pPr>
    </w:p>
    <w:p w:rsidR="00E85D42" w:rsidRDefault="008113B9">
      <w:pPr>
        <w:jc w:val="center"/>
        <w:rPr>
          <w:i/>
          <w:sz w:val="24"/>
          <w:szCs w:val="24"/>
        </w:rPr>
      </w:pPr>
      <w:r>
        <w:rPr>
          <w:i/>
          <w:sz w:val="24"/>
          <w:szCs w:val="24"/>
        </w:rPr>
        <w:t>Определение продуктивности 1 гектара лесных земель по основн</w:t>
      </w:r>
      <w:r>
        <w:rPr>
          <w:i/>
          <w:sz w:val="24"/>
          <w:szCs w:val="24"/>
        </w:rPr>
        <w:t>ым лесообразующим породам в денежном выражении в разрезе лесничеств Республики Башкортостан</w:t>
      </w:r>
    </w:p>
    <w:p w:rsidR="00E85D42" w:rsidRDefault="008113B9">
      <w:pPr>
        <w:jc w:val="both"/>
        <w:rPr>
          <w:sz w:val="24"/>
          <w:szCs w:val="24"/>
        </w:rPr>
      </w:pPr>
      <w:r>
        <w:rPr>
          <w:sz w:val="24"/>
          <w:szCs w:val="24"/>
        </w:rPr>
        <w:tab/>
        <w:t>Определение продуктивности 1 гектара земель по основным лесообразующим породам в денежном выражении выполняется по формуле:</w:t>
      </w:r>
    </w:p>
    <w:p w:rsidR="00E85D42" w:rsidRDefault="008113B9">
      <w:pPr>
        <w:jc w:val="center"/>
        <w:rPr>
          <w:sz w:val="24"/>
          <w:szCs w:val="24"/>
        </w:rPr>
      </w:pPr>
      <w:r>
        <w:rPr>
          <w:sz w:val="24"/>
          <w:szCs w:val="24"/>
        </w:rPr>
        <w:t>П = ЗД * РЦ / N,</w:t>
      </w:r>
    </w:p>
    <w:p w:rsidR="00E85D42" w:rsidRDefault="008113B9">
      <w:pPr>
        <w:jc w:val="both"/>
        <w:rPr>
          <w:sz w:val="24"/>
          <w:szCs w:val="24"/>
        </w:rPr>
      </w:pPr>
      <w:r>
        <w:rPr>
          <w:sz w:val="24"/>
          <w:szCs w:val="24"/>
        </w:rPr>
        <w:t>где</w:t>
      </w:r>
    </w:p>
    <w:p w:rsidR="00E85D42" w:rsidRDefault="008113B9">
      <w:pPr>
        <w:jc w:val="both"/>
        <w:rPr>
          <w:sz w:val="24"/>
          <w:szCs w:val="24"/>
        </w:rPr>
      </w:pPr>
      <w:r>
        <w:rPr>
          <w:sz w:val="24"/>
          <w:szCs w:val="24"/>
        </w:rPr>
        <w:t>П – продуктивность</w:t>
      </w:r>
      <w:r>
        <w:rPr>
          <w:sz w:val="24"/>
          <w:szCs w:val="24"/>
        </w:rPr>
        <w:t xml:space="preserve"> 1 гектара земель (руб./га);</w:t>
      </w:r>
    </w:p>
    <w:p w:rsidR="00E85D42" w:rsidRDefault="008113B9">
      <w:pPr>
        <w:jc w:val="both"/>
        <w:rPr>
          <w:sz w:val="24"/>
          <w:szCs w:val="24"/>
        </w:rPr>
      </w:pPr>
      <w:r>
        <w:rPr>
          <w:sz w:val="24"/>
          <w:szCs w:val="24"/>
        </w:rPr>
        <w:t>ЗД – запас древесины на 1 гектар (куб.м/га);</w:t>
      </w:r>
    </w:p>
    <w:p w:rsidR="00E85D42" w:rsidRDefault="008113B9">
      <w:pPr>
        <w:jc w:val="both"/>
        <w:rPr>
          <w:sz w:val="24"/>
          <w:szCs w:val="24"/>
        </w:rPr>
      </w:pPr>
      <w:r>
        <w:rPr>
          <w:sz w:val="24"/>
          <w:szCs w:val="24"/>
        </w:rPr>
        <w:t>РЦ – рыночная цена 1 куб.м. древесины, отпускаемой на корню (руб./куб.м);</w:t>
      </w:r>
    </w:p>
    <w:p w:rsidR="00E85D42" w:rsidRDefault="008113B9">
      <w:pPr>
        <w:jc w:val="both"/>
        <w:rPr>
          <w:sz w:val="24"/>
          <w:szCs w:val="24"/>
        </w:rPr>
      </w:pPr>
      <w:r>
        <w:rPr>
          <w:sz w:val="24"/>
          <w:szCs w:val="24"/>
        </w:rPr>
        <w:t>N – число лет в обороте рубки по основным лесообразующим породам.</w:t>
      </w:r>
    </w:p>
    <w:p w:rsidR="00E85D42" w:rsidRDefault="008113B9">
      <w:pPr>
        <w:jc w:val="both"/>
        <w:rPr>
          <w:sz w:val="24"/>
          <w:szCs w:val="24"/>
        </w:rPr>
      </w:pPr>
      <w:r>
        <w:rPr>
          <w:sz w:val="24"/>
          <w:szCs w:val="24"/>
        </w:rPr>
        <w:tab/>
        <w:t>Запас древесины на 1 гектар был рассчитан</w:t>
      </w:r>
      <w:r>
        <w:rPr>
          <w:sz w:val="24"/>
          <w:szCs w:val="24"/>
        </w:rPr>
        <w:t xml:space="preserve"> соотношением всего запаса древесины по основным лесообразующим породам к занимаемой этими породами площади.</w:t>
      </w:r>
    </w:p>
    <w:p w:rsidR="00E85D42" w:rsidRDefault="008113B9">
      <w:pPr>
        <w:jc w:val="both"/>
        <w:rPr>
          <w:sz w:val="24"/>
          <w:szCs w:val="24"/>
        </w:rPr>
      </w:pPr>
      <w:r>
        <w:rPr>
          <w:sz w:val="24"/>
          <w:szCs w:val="24"/>
        </w:rPr>
        <w:tab/>
        <w:t xml:space="preserve">Данные о запасе насаждений по основным лесообразующим породам и занимаемой ими площади в разрезе лесничеств определены на основании Формы 1.8 ГЛР </w:t>
      </w:r>
      <w:r>
        <w:rPr>
          <w:sz w:val="24"/>
          <w:szCs w:val="24"/>
        </w:rPr>
        <w:t>«Распределение площади лесов и запасов древесины по преобладающим породам и группам возраста (на 01.01.2018 г.)».</w:t>
      </w:r>
    </w:p>
    <w:p w:rsidR="00E85D42" w:rsidRDefault="008113B9">
      <w:pPr>
        <w:jc w:val="both"/>
        <w:rPr>
          <w:sz w:val="24"/>
          <w:szCs w:val="24"/>
        </w:rPr>
      </w:pPr>
      <w:r>
        <w:rPr>
          <w:sz w:val="24"/>
          <w:szCs w:val="24"/>
        </w:rPr>
        <w:t>Результаты расчета общего запаса насаждений на 1 га на куб.м. представлен в Приложении 2, «Расчет «Использование лесов».</w:t>
      </w:r>
    </w:p>
    <w:p w:rsidR="00E85D42" w:rsidRDefault="008113B9">
      <w:pPr>
        <w:jc w:val="both"/>
        <w:rPr>
          <w:sz w:val="24"/>
          <w:szCs w:val="24"/>
        </w:rPr>
      </w:pPr>
      <w:r>
        <w:rPr>
          <w:sz w:val="24"/>
          <w:szCs w:val="24"/>
        </w:rPr>
        <w:t xml:space="preserve">Для определения цены </w:t>
      </w:r>
      <w:r>
        <w:rPr>
          <w:sz w:val="24"/>
          <w:szCs w:val="24"/>
        </w:rPr>
        <w:t>1 куб.м древесины, отпускаемой на корню, была проанализирована рыночная информация, представленная в печатных средствах массовой информации и на сайтах сети интернет. Для расчета продуктивности 1 гектара земель по основным лесообразующим породам использова</w:t>
      </w:r>
      <w:r>
        <w:rPr>
          <w:sz w:val="24"/>
          <w:szCs w:val="24"/>
        </w:rPr>
        <w:t>но среднее значение цены 1 куб.м древесины на корню в Республике Башкортостан – 221,65 руб./куб.м Приложение 2, «Расчет «Использование лесов».</w:t>
      </w:r>
    </w:p>
    <w:p w:rsidR="00E85D42" w:rsidRDefault="008113B9">
      <w:pPr>
        <w:ind w:firstLine="708"/>
        <w:jc w:val="both"/>
        <w:rPr>
          <w:sz w:val="24"/>
          <w:szCs w:val="24"/>
        </w:rPr>
      </w:pPr>
      <w:r>
        <w:rPr>
          <w:sz w:val="24"/>
          <w:szCs w:val="24"/>
        </w:rPr>
        <w:t>Возрасты рубок лесных насаждений по основным лесообразующим породам установлены согласно приказу Федерального аге</w:t>
      </w:r>
      <w:r>
        <w:rPr>
          <w:sz w:val="24"/>
          <w:szCs w:val="24"/>
        </w:rPr>
        <w:t>нтства лесного хозяйства от 09.04.2015г. №105 «Об установлении возрастов рубок» и на основании данных, предоставленных Министерством лесного хозяйства Республики Башкортостан.</w:t>
      </w:r>
    </w:p>
    <w:p w:rsidR="00E85D42" w:rsidRDefault="008113B9">
      <w:pPr>
        <w:ind w:firstLine="708"/>
        <w:jc w:val="both"/>
        <w:rPr>
          <w:sz w:val="24"/>
          <w:szCs w:val="24"/>
        </w:rPr>
      </w:pPr>
      <w:r>
        <w:rPr>
          <w:sz w:val="24"/>
          <w:szCs w:val="24"/>
        </w:rPr>
        <w:t>В Приложении 2, «Расчет «Использование лесов» представлены результаты расчета пр</w:t>
      </w:r>
      <w:r>
        <w:rPr>
          <w:sz w:val="24"/>
          <w:szCs w:val="24"/>
        </w:rPr>
        <w:t>одуктивности 1 гектара земель по основным лесообразующим породам в денежном выражении в разрезе лесничеств Республики Башкортостан.</w:t>
      </w:r>
    </w:p>
    <w:p w:rsidR="00E85D42" w:rsidRDefault="008113B9">
      <w:pPr>
        <w:jc w:val="center"/>
        <w:rPr>
          <w:i/>
          <w:sz w:val="24"/>
          <w:szCs w:val="24"/>
        </w:rPr>
      </w:pPr>
      <w:r>
        <w:rPr>
          <w:i/>
          <w:sz w:val="24"/>
          <w:szCs w:val="24"/>
        </w:rPr>
        <w:t>Определение затрат на ведение лесного хозяйства</w:t>
      </w:r>
    </w:p>
    <w:p w:rsidR="00E85D42" w:rsidRDefault="008113B9">
      <w:pPr>
        <w:jc w:val="both"/>
        <w:rPr>
          <w:sz w:val="24"/>
          <w:szCs w:val="24"/>
        </w:rPr>
      </w:pPr>
      <w:r>
        <w:rPr>
          <w:sz w:val="24"/>
          <w:szCs w:val="24"/>
        </w:rPr>
        <w:tab/>
        <w:t>Данные о величине расходов за 2018 года на 1 га земель в разрезе лесничеств</w:t>
      </w:r>
      <w:r>
        <w:rPr>
          <w:sz w:val="24"/>
          <w:szCs w:val="24"/>
        </w:rPr>
        <w:t xml:space="preserve"> представлены Министерством лесного хозяйства Республики Башкортостан, и включают следующие статьи расходов:</w:t>
      </w:r>
    </w:p>
    <w:p w:rsidR="00E85D42" w:rsidRDefault="008113B9">
      <w:pPr>
        <w:jc w:val="both"/>
        <w:rPr>
          <w:sz w:val="24"/>
          <w:szCs w:val="24"/>
        </w:rPr>
      </w:pPr>
      <w:r>
        <w:rPr>
          <w:sz w:val="24"/>
          <w:szCs w:val="24"/>
        </w:rPr>
        <w:t>– Охрана лесов от пожаров.</w:t>
      </w:r>
    </w:p>
    <w:p w:rsidR="00E85D42" w:rsidRDefault="008113B9">
      <w:pPr>
        <w:jc w:val="both"/>
        <w:rPr>
          <w:sz w:val="24"/>
          <w:szCs w:val="24"/>
        </w:rPr>
      </w:pPr>
      <w:r>
        <w:rPr>
          <w:sz w:val="24"/>
          <w:szCs w:val="24"/>
        </w:rPr>
        <w:t>– Защита лесов от вредных организмов.</w:t>
      </w:r>
    </w:p>
    <w:p w:rsidR="00E85D42" w:rsidRDefault="008113B9">
      <w:pPr>
        <w:jc w:val="both"/>
        <w:rPr>
          <w:sz w:val="24"/>
          <w:szCs w:val="24"/>
        </w:rPr>
      </w:pPr>
      <w:r>
        <w:rPr>
          <w:sz w:val="24"/>
          <w:szCs w:val="24"/>
        </w:rPr>
        <w:t>– Тушение лесных пожаров.</w:t>
      </w:r>
    </w:p>
    <w:p w:rsidR="00E85D42" w:rsidRDefault="008113B9">
      <w:pPr>
        <w:jc w:val="both"/>
        <w:rPr>
          <w:sz w:val="24"/>
          <w:szCs w:val="24"/>
        </w:rPr>
      </w:pPr>
      <w:r>
        <w:rPr>
          <w:sz w:val="24"/>
          <w:szCs w:val="24"/>
        </w:rPr>
        <w:t>–  Лесовосстановление, отвод.</w:t>
      </w:r>
    </w:p>
    <w:p w:rsidR="00E85D42" w:rsidRDefault="008113B9">
      <w:pPr>
        <w:jc w:val="both"/>
      </w:pPr>
      <w:r>
        <w:rPr>
          <w:sz w:val="24"/>
          <w:szCs w:val="24"/>
        </w:rPr>
        <w:tab/>
        <w:t>Сумма расходов за 2018 го</w:t>
      </w:r>
      <w:r>
        <w:rPr>
          <w:sz w:val="24"/>
          <w:szCs w:val="24"/>
        </w:rPr>
        <w:t>д</w:t>
      </w:r>
      <w:r>
        <w:rPr>
          <w:color w:val="0070C0"/>
          <w:sz w:val="24"/>
          <w:szCs w:val="24"/>
        </w:rPr>
        <w:t xml:space="preserve"> </w:t>
      </w:r>
      <w:r>
        <w:rPr>
          <w:sz w:val="24"/>
          <w:szCs w:val="24"/>
        </w:rPr>
        <w:t>на ведение лесного хозяйства, приходящиеся на единицу площади, составляют 21,7 руб./га.</w:t>
      </w:r>
    </w:p>
    <w:p w:rsidR="00E85D42" w:rsidRDefault="008113B9">
      <w:pPr>
        <w:jc w:val="center"/>
        <w:rPr>
          <w:i/>
          <w:sz w:val="24"/>
          <w:szCs w:val="24"/>
        </w:rPr>
      </w:pPr>
      <w:r>
        <w:rPr>
          <w:i/>
          <w:sz w:val="24"/>
          <w:szCs w:val="24"/>
        </w:rPr>
        <w:t>Определение прибыли предпринимателя</w:t>
      </w:r>
    </w:p>
    <w:p w:rsidR="00E85D42" w:rsidRDefault="008113B9">
      <w:pPr>
        <w:jc w:val="both"/>
        <w:rPr>
          <w:sz w:val="24"/>
          <w:szCs w:val="24"/>
        </w:rPr>
      </w:pPr>
      <w:r>
        <w:rPr>
          <w:sz w:val="24"/>
          <w:szCs w:val="24"/>
        </w:rPr>
        <w:tab/>
        <w:t>Прибыль предпринимателя – это установленная рынком цифра, отражающая сумму, которую предприниматель ожидает получить в виде преми</w:t>
      </w:r>
      <w:r>
        <w:rPr>
          <w:sz w:val="24"/>
          <w:szCs w:val="24"/>
        </w:rPr>
        <w:t>и за использование своего капитала, инвестированного в проект. Прибыль предпринимателя является в основном функцией риска и зависит от конкретной рыночной ситуации.</w:t>
      </w:r>
    </w:p>
    <w:p w:rsidR="00E85D42" w:rsidRDefault="008113B9">
      <w:pPr>
        <w:jc w:val="both"/>
        <w:rPr>
          <w:sz w:val="24"/>
          <w:szCs w:val="24"/>
        </w:rPr>
      </w:pPr>
      <w:r>
        <w:rPr>
          <w:sz w:val="24"/>
          <w:szCs w:val="24"/>
        </w:rPr>
        <w:tab/>
        <w:t xml:space="preserve">Для лесозаготовительной деятельности в расчеты обоснования расходов прибавляется 5% риска </w:t>
      </w:r>
      <w:r>
        <w:rPr>
          <w:sz w:val="24"/>
          <w:szCs w:val="24"/>
        </w:rPr>
        <w:t>предпринимателя, или нераспределенная прибыль. Прибыль предпринимателя не входит в расчет затрат как таковых, но она может быть обозначена как определенный процент суммарных затрат и учтена в удельных затратах (http://www.lesonline.ru/news/?id=219554).</w:t>
      </w:r>
    </w:p>
    <w:p w:rsidR="00E85D42" w:rsidRDefault="008113B9">
      <w:pPr>
        <w:jc w:val="both"/>
        <w:rPr>
          <w:sz w:val="24"/>
          <w:szCs w:val="24"/>
        </w:rPr>
      </w:pPr>
      <w:r>
        <w:rPr>
          <w:sz w:val="24"/>
          <w:szCs w:val="24"/>
        </w:rPr>
        <w:tab/>
        <w:t>Та</w:t>
      </w:r>
      <w:r>
        <w:rPr>
          <w:sz w:val="24"/>
          <w:szCs w:val="24"/>
        </w:rPr>
        <w:t>ким образом, прибыль предпринимателя принята равной 5%.</w:t>
      </w:r>
    </w:p>
    <w:p w:rsidR="00E85D42" w:rsidRDefault="00E85D42">
      <w:pPr>
        <w:jc w:val="center"/>
        <w:rPr>
          <w:i/>
          <w:sz w:val="24"/>
          <w:szCs w:val="24"/>
        </w:rPr>
      </w:pPr>
    </w:p>
    <w:p w:rsidR="00E85D42" w:rsidRDefault="008113B9">
      <w:pPr>
        <w:jc w:val="center"/>
        <w:rPr>
          <w:i/>
          <w:sz w:val="24"/>
          <w:szCs w:val="24"/>
        </w:rPr>
      </w:pPr>
      <w:r>
        <w:rPr>
          <w:i/>
          <w:sz w:val="24"/>
          <w:szCs w:val="24"/>
        </w:rPr>
        <w:t>Определение удельного показателя рентного дохода по основным лесообразующим породам в разрезе лесничеств Республики Башкортостан.</w:t>
      </w:r>
    </w:p>
    <w:p w:rsidR="00E85D42" w:rsidRDefault="008113B9">
      <w:pPr>
        <w:jc w:val="both"/>
        <w:rPr>
          <w:sz w:val="24"/>
          <w:szCs w:val="24"/>
        </w:rPr>
      </w:pPr>
      <w:r>
        <w:rPr>
          <w:sz w:val="24"/>
          <w:szCs w:val="24"/>
        </w:rPr>
        <w:tab/>
        <w:t>Удельный показатель рентного дохода земель по основным лесообразующи</w:t>
      </w:r>
      <w:r>
        <w:rPr>
          <w:sz w:val="24"/>
          <w:szCs w:val="24"/>
        </w:rPr>
        <w:t>м породам определяется путем вычитания из продуктивности 1 га земель затрат лесозаготовительного хозяйства и прибыли предпринимателя.</w:t>
      </w:r>
    </w:p>
    <w:p w:rsidR="00E85D42" w:rsidRDefault="008113B9">
      <w:pPr>
        <w:jc w:val="center"/>
        <w:rPr>
          <w:sz w:val="24"/>
          <w:szCs w:val="24"/>
        </w:rPr>
      </w:pPr>
      <w:r>
        <w:rPr>
          <w:sz w:val="24"/>
          <w:szCs w:val="24"/>
        </w:rPr>
        <w:t>УПРД = П – З – ПП,</w:t>
      </w:r>
    </w:p>
    <w:p w:rsidR="00E85D42" w:rsidRDefault="008113B9">
      <w:pPr>
        <w:rPr>
          <w:sz w:val="24"/>
          <w:szCs w:val="24"/>
        </w:rPr>
      </w:pPr>
      <w:r>
        <w:rPr>
          <w:sz w:val="24"/>
          <w:szCs w:val="24"/>
        </w:rPr>
        <w:t>где</w:t>
      </w:r>
    </w:p>
    <w:p w:rsidR="00E85D42" w:rsidRDefault="008113B9">
      <w:pPr>
        <w:rPr>
          <w:sz w:val="24"/>
          <w:szCs w:val="24"/>
        </w:rPr>
      </w:pPr>
      <w:r>
        <w:rPr>
          <w:sz w:val="24"/>
          <w:szCs w:val="24"/>
        </w:rPr>
        <w:t>УПРД – удельный показатель рентного дохода (руб./га);</w:t>
      </w:r>
    </w:p>
    <w:p w:rsidR="00E85D42" w:rsidRDefault="008113B9">
      <w:pPr>
        <w:rPr>
          <w:sz w:val="24"/>
          <w:szCs w:val="24"/>
        </w:rPr>
      </w:pPr>
      <w:r>
        <w:rPr>
          <w:sz w:val="24"/>
          <w:szCs w:val="24"/>
        </w:rPr>
        <w:t xml:space="preserve">П – продуктивность 1 гектара земель </w:t>
      </w:r>
      <w:r>
        <w:rPr>
          <w:sz w:val="24"/>
          <w:szCs w:val="24"/>
        </w:rPr>
        <w:t>(руб./га);</w:t>
      </w:r>
    </w:p>
    <w:p w:rsidR="00E85D42" w:rsidRDefault="008113B9">
      <w:pPr>
        <w:rPr>
          <w:sz w:val="24"/>
          <w:szCs w:val="24"/>
        </w:rPr>
      </w:pPr>
      <w:r>
        <w:rPr>
          <w:sz w:val="24"/>
          <w:szCs w:val="24"/>
        </w:rPr>
        <w:t>З – затраты лесозаготовительного хозяйства (руб./га);</w:t>
      </w:r>
    </w:p>
    <w:p w:rsidR="00E85D42" w:rsidRDefault="008113B9">
      <w:pPr>
        <w:rPr>
          <w:sz w:val="24"/>
          <w:szCs w:val="24"/>
        </w:rPr>
      </w:pPr>
      <w:r>
        <w:rPr>
          <w:sz w:val="24"/>
          <w:szCs w:val="24"/>
        </w:rPr>
        <w:t>ПП – прибыль предпринимателя.</w:t>
      </w:r>
    </w:p>
    <w:p w:rsidR="00E85D42" w:rsidRDefault="008113B9">
      <w:pPr>
        <w:jc w:val="right"/>
        <w:rPr>
          <w:sz w:val="24"/>
          <w:szCs w:val="24"/>
        </w:rPr>
      </w:pPr>
      <w:r>
        <w:rPr>
          <w:sz w:val="24"/>
          <w:szCs w:val="24"/>
        </w:rPr>
        <w:t>Таблица 3.6.10.1 Расчет удельного показателя рентного дохода по основным лесообразующим породам в  разрезе лесничеств Республики Башкортостан</w:t>
      </w:r>
    </w:p>
    <w:tbl>
      <w:tblPr>
        <w:tblW w:w="5000" w:type="pct"/>
        <w:tblCellMar>
          <w:left w:w="10" w:type="dxa"/>
          <w:right w:w="10" w:type="dxa"/>
        </w:tblCellMar>
        <w:tblLook w:val="04A0" w:firstRow="1" w:lastRow="0" w:firstColumn="1" w:lastColumn="0" w:noHBand="0" w:noVBand="1"/>
      </w:tblPr>
      <w:tblGrid>
        <w:gridCol w:w="2079"/>
        <w:gridCol w:w="1656"/>
        <w:gridCol w:w="1380"/>
        <w:gridCol w:w="1731"/>
        <w:gridCol w:w="1737"/>
        <w:gridCol w:w="1131"/>
      </w:tblGrid>
      <w:tr w:rsidR="00E85D42">
        <w:tblPrEx>
          <w:tblCellMar>
            <w:top w:w="0" w:type="dxa"/>
            <w:bottom w:w="0" w:type="dxa"/>
          </w:tblCellMar>
        </w:tblPrEx>
        <w:trPr>
          <w:trHeight w:val="230"/>
        </w:trPr>
        <w:tc>
          <w:tcPr>
            <w:tcW w:w="20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Наименование леснич</w:t>
            </w:r>
            <w:r>
              <w:rPr>
                <w:b/>
                <w:bCs/>
                <w:color w:val="000000"/>
                <w:sz w:val="18"/>
                <w:szCs w:val="18"/>
              </w:rPr>
              <w:t>ества</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Общая продуктивность 1 га земель в разрезе лесничеств, руб.</w:t>
            </w: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Затраты, руб./га</w:t>
            </w: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Прибыль предпринимателя, %</w:t>
            </w:r>
          </w:p>
        </w:tc>
        <w:tc>
          <w:tcPr>
            <w:tcW w:w="17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Прибыль предприниматели, руб./га</w:t>
            </w:r>
          </w:p>
        </w:tc>
        <w:tc>
          <w:tcPr>
            <w:tcW w:w="113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Удельный показатель рентного дохода, руб./га</w:t>
            </w:r>
          </w:p>
        </w:tc>
      </w:tr>
      <w:tr w:rsidR="00E85D42">
        <w:tblPrEx>
          <w:tblCellMar>
            <w:top w:w="0" w:type="dxa"/>
            <w:bottom w:w="0" w:type="dxa"/>
          </w:tblCellMar>
        </w:tblPrEx>
        <w:trPr>
          <w:trHeight w:val="230"/>
        </w:trPr>
        <w:tc>
          <w:tcPr>
            <w:tcW w:w="20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3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7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r>
      <w:tr w:rsidR="00E85D42">
        <w:tblPrEx>
          <w:tblCellMar>
            <w:top w:w="0" w:type="dxa"/>
            <w:bottom w:w="0" w:type="dxa"/>
          </w:tblCellMar>
        </w:tblPrEx>
        <w:trPr>
          <w:trHeight w:val="230"/>
        </w:trPr>
        <w:tc>
          <w:tcPr>
            <w:tcW w:w="20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3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7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Абзелиловское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13635,56</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681,78</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12 932,09</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Альшеевское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22952,00</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1147,60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21 782,70</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Аскинское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21911,77</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1095,59</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20 794,48</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Баймакское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19114,83</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955,74</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18 137,39</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Белокатайское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21285,19</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1064,26</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20 199,23</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Белорецкое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18144,33</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907,22</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17 215,42</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Бирское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22587,37</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1129,37</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21 436,31</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Бурзянское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19048,91</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952,45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18 074,76</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Дюртюлинское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22501,26</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1125,06</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21 354,50</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Зианчуринское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19601,35</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980,07</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18 599,59</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Зилаирское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15913,04</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795,65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15 095,69</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Иглинское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22554,56</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1127,73</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 xml:space="preserve">21 </w:t>
            </w:r>
            <w:r>
              <w:rPr>
                <w:color w:val="000000"/>
                <w:sz w:val="18"/>
                <w:szCs w:val="18"/>
              </w:rPr>
              <w:t>405,13</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Кугарчинское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18819,06</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940,95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17 856,41</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Макаровское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21014,45</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1050,72</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19 942,03</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Нуримановское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22229,48</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1111,47</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21 096,31</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Салаватское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21277,25</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1063,86</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20 191,69</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Стерлитамакское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21004,93</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1050,25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19 932,98</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Туймазинское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20915,77</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1045,79</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19 848,28</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Уфимское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22411,00</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1120,55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21 268,75</w:t>
            </w:r>
          </w:p>
        </w:tc>
      </w:tr>
      <w:tr w:rsidR="00E85D42">
        <w:tblPrEx>
          <w:tblCellMar>
            <w:top w:w="0" w:type="dxa"/>
            <w:bottom w:w="0" w:type="dxa"/>
          </w:tblCellMar>
        </w:tblPrEx>
        <w:trPr>
          <w:trHeight w:val="227"/>
        </w:trPr>
        <w:tc>
          <w:tcPr>
            <w:tcW w:w="20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Янаульское</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22628,68</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21,7</w:t>
            </w:r>
          </w:p>
        </w:tc>
        <w:tc>
          <w:tcPr>
            <w:tcW w:w="17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5%</w:t>
            </w:r>
          </w:p>
        </w:tc>
        <w:tc>
          <w:tcPr>
            <w:tcW w:w="17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1131,43</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sz w:val="18"/>
                <w:szCs w:val="18"/>
              </w:rPr>
            </w:pPr>
            <w:r>
              <w:rPr>
                <w:color w:val="000000"/>
                <w:sz w:val="18"/>
                <w:szCs w:val="18"/>
              </w:rPr>
              <w:t>21 475,55</w:t>
            </w:r>
          </w:p>
        </w:tc>
      </w:tr>
    </w:tbl>
    <w:p w:rsidR="00E85D42" w:rsidRDefault="00E85D42">
      <w:pPr>
        <w:rPr>
          <w:sz w:val="24"/>
          <w:szCs w:val="24"/>
        </w:rPr>
      </w:pPr>
    </w:p>
    <w:p w:rsidR="00E85D42" w:rsidRDefault="008113B9">
      <w:pPr>
        <w:jc w:val="center"/>
        <w:rPr>
          <w:i/>
          <w:sz w:val="24"/>
          <w:szCs w:val="24"/>
        </w:rPr>
      </w:pPr>
      <w:r>
        <w:rPr>
          <w:i/>
          <w:sz w:val="24"/>
          <w:szCs w:val="24"/>
        </w:rPr>
        <w:t>Определение значения коэффициента капитализации</w:t>
      </w:r>
    </w:p>
    <w:p w:rsidR="00E85D42" w:rsidRDefault="008113B9">
      <w:pPr>
        <w:jc w:val="both"/>
        <w:rPr>
          <w:sz w:val="24"/>
          <w:szCs w:val="24"/>
        </w:rPr>
      </w:pPr>
      <w:r>
        <w:rPr>
          <w:sz w:val="24"/>
          <w:szCs w:val="24"/>
        </w:rPr>
        <w:tab/>
        <w:t xml:space="preserve">Для расчета коэффициента капитализации Оценщик делает </w:t>
      </w:r>
      <w:r>
        <w:rPr>
          <w:sz w:val="24"/>
          <w:szCs w:val="24"/>
        </w:rPr>
        <w:t>предположение о том, что в течение всего прогнозного периода не ожидается заметной потери стоимости объектов оценки. Денежный поток предполагается постоянным в течение всего прогнозного периода. Коэффициент капитализации при указанных допущениях становится</w:t>
      </w:r>
      <w:r>
        <w:rPr>
          <w:sz w:val="24"/>
          <w:szCs w:val="24"/>
        </w:rPr>
        <w:t xml:space="preserve"> равным ставке дисконтирования.</w:t>
      </w:r>
    </w:p>
    <w:p w:rsidR="00E85D42" w:rsidRDefault="008113B9">
      <w:pPr>
        <w:jc w:val="both"/>
        <w:rPr>
          <w:sz w:val="24"/>
          <w:szCs w:val="24"/>
        </w:rPr>
      </w:pPr>
      <w:r>
        <w:rPr>
          <w:sz w:val="24"/>
          <w:szCs w:val="24"/>
        </w:rPr>
        <w:tab/>
        <w:t>В расчетах при определении ставки дисконтирования для земельных участков Оценщики использовали метод кумулятивного построения.</w:t>
      </w:r>
    </w:p>
    <w:p w:rsidR="00E85D42" w:rsidRDefault="008113B9">
      <w:pPr>
        <w:jc w:val="both"/>
        <w:rPr>
          <w:sz w:val="24"/>
          <w:szCs w:val="24"/>
        </w:rPr>
      </w:pPr>
      <w:r>
        <w:rPr>
          <w:sz w:val="24"/>
          <w:szCs w:val="24"/>
        </w:rPr>
        <w:tab/>
        <w:t>Метод кумулятивного построения подразумевает оценку определенных факторов, порождающих риск нед</w:t>
      </w:r>
      <w:r>
        <w:rPr>
          <w:sz w:val="24"/>
          <w:szCs w:val="24"/>
        </w:rPr>
        <w:t>ополучения запланированных доходов. Метод заключается в том, что к номинальной безрисковой ставке прибавляется совокупная премия за инвестиционные риски, которая состоит из премий за отдельные относящиеся именно к данному объекту риски.</w:t>
      </w:r>
    </w:p>
    <w:p w:rsidR="00E85D42" w:rsidRDefault="008113B9">
      <w:pPr>
        <w:pStyle w:val="a6"/>
        <w:shd w:val="clear" w:color="auto" w:fill="FFFFFF"/>
        <w:spacing w:before="150" w:line="280" w:lineRule="atLeast"/>
        <w:rPr>
          <w:rFonts w:eastAsia="Calibri"/>
          <w:lang w:eastAsia="en-US"/>
        </w:rPr>
      </w:pPr>
      <w:r>
        <w:rPr>
          <w:rFonts w:eastAsia="Calibri"/>
          <w:lang w:eastAsia="en-US"/>
        </w:rPr>
        <w:t>В условиях российск</w:t>
      </w:r>
      <w:r>
        <w:rPr>
          <w:rFonts w:eastAsia="Calibri"/>
          <w:lang w:eastAsia="en-US"/>
        </w:rPr>
        <w:t>ого рынка обычно представляется в виде:</w:t>
      </w:r>
    </w:p>
    <w:p w:rsidR="00E85D42" w:rsidRDefault="008113B9">
      <w:pPr>
        <w:pStyle w:val="a6"/>
        <w:shd w:val="clear" w:color="auto" w:fill="FFFFFF"/>
        <w:spacing w:before="150" w:line="280" w:lineRule="atLeast"/>
        <w:jc w:val="center"/>
      </w:pPr>
      <w:r>
        <w:rPr>
          <w:rFonts w:eastAsia="Calibri"/>
          <w:lang w:val="en-US" w:eastAsia="en-US"/>
        </w:rPr>
        <w:t>i = io + i</w:t>
      </w:r>
      <w:r>
        <w:rPr>
          <w:rFonts w:eastAsia="Calibri"/>
          <w:lang w:eastAsia="en-US"/>
        </w:rPr>
        <w:t>с</w:t>
      </w:r>
      <w:r>
        <w:rPr>
          <w:rFonts w:eastAsia="Calibri"/>
          <w:lang w:val="en-US" w:eastAsia="en-US"/>
        </w:rPr>
        <w:t> + i</w:t>
      </w:r>
      <w:r>
        <w:rPr>
          <w:rFonts w:eastAsia="Calibri"/>
          <w:lang w:eastAsia="en-US"/>
        </w:rPr>
        <w:t>л</w:t>
      </w:r>
      <w:r>
        <w:rPr>
          <w:rFonts w:eastAsia="Calibri"/>
          <w:lang w:val="en-US" w:eastAsia="en-US"/>
        </w:rPr>
        <w:t> + i in </w:t>
      </w:r>
    </w:p>
    <w:p w:rsidR="00E85D42" w:rsidRDefault="008113B9">
      <w:pPr>
        <w:pStyle w:val="a6"/>
        <w:shd w:val="clear" w:color="auto" w:fill="FFFFFF"/>
        <w:spacing w:before="150" w:line="280" w:lineRule="atLeast"/>
        <w:jc w:val="left"/>
      </w:pPr>
      <w:r>
        <w:rPr>
          <w:rFonts w:eastAsia="Calibri"/>
          <w:lang w:eastAsia="en-US"/>
        </w:rPr>
        <w:t>где</w:t>
      </w:r>
      <w:r>
        <w:rPr>
          <w:rFonts w:eastAsia="Calibri"/>
          <w:lang w:eastAsia="en-US"/>
        </w:rPr>
        <w:br/>
      </w:r>
      <w:r>
        <w:rPr>
          <w:rFonts w:eastAsia="Calibri"/>
          <w:lang w:eastAsia="en-US"/>
        </w:rPr>
        <w:t>io – безрисковая ставка процента, %;</w:t>
      </w:r>
      <w:r>
        <w:rPr>
          <w:rFonts w:eastAsia="Calibri"/>
          <w:lang w:eastAsia="en-US"/>
        </w:rPr>
        <w:br/>
      </w:r>
      <w:r>
        <w:rPr>
          <w:rFonts w:eastAsia="Calibri"/>
          <w:lang w:eastAsia="en-US"/>
        </w:rPr>
        <w:t>iс – риск инвестиций в недвижимость, %;</w:t>
      </w:r>
      <w:r>
        <w:rPr>
          <w:rFonts w:eastAsia="Calibri"/>
          <w:lang w:eastAsia="en-US"/>
        </w:rPr>
        <w:br/>
      </w:r>
      <w:r>
        <w:rPr>
          <w:rFonts w:eastAsia="Calibri"/>
          <w:lang w:eastAsia="en-US"/>
        </w:rPr>
        <w:t>iл – премия на низкую ликвидность, %;</w:t>
      </w:r>
      <w:r>
        <w:rPr>
          <w:rFonts w:eastAsia="Calibri"/>
          <w:lang w:eastAsia="en-US"/>
        </w:rPr>
        <w:br/>
      </w:r>
      <w:r>
        <w:rPr>
          <w:rFonts w:eastAsia="Calibri"/>
          <w:lang w:eastAsia="en-US"/>
        </w:rPr>
        <w:t>iin – премия за качество менеджемента, %;</w:t>
      </w:r>
      <w:r>
        <w:rPr>
          <w:rFonts w:eastAsia="Calibri"/>
          <w:lang w:eastAsia="en-US"/>
        </w:rPr>
        <w:br/>
      </w:r>
    </w:p>
    <w:p w:rsidR="00E85D42" w:rsidRDefault="008113B9">
      <w:pPr>
        <w:pStyle w:val="a6"/>
        <w:shd w:val="clear" w:color="auto" w:fill="FFFFFF"/>
        <w:spacing w:before="150" w:line="280" w:lineRule="atLeast"/>
      </w:pPr>
      <w:r>
        <w:t>В качестве безрисковой ставки</w:t>
      </w:r>
      <w:r>
        <w:t xml:space="preserve"> дохода используется значение кривой бескупонной доходности государственных облигаций (% годовых). Считается, что государство является самым надежным гарантом по своим обязательствам (вероятность его банкротства практически исключается). Доходность по ОФЗ </w:t>
      </w:r>
      <w:r>
        <w:t>по состоянию на 29.12.2018 г. составляет 8,74% (http://www.cbr.ru/hd_base/zcyc_params/).</w:t>
      </w:r>
    </w:p>
    <w:p w:rsidR="00E85D42" w:rsidRDefault="008113B9">
      <w:pPr>
        <w:jc w:val="both"/>
        <w:rPr>
          <w:sz w:val="24"/>
          <w:szCs w:val="24"/>
        </w:rPr>
      </w:pPr>
      <w:r>
        <w:rPr>
          <w:sz w:val="24"/>
          <w:szCs w:val="24"/>
        </w:rPr>
        <w:tab/>
        <w:t>Существуют следующие основные виды рисков для земельных участков:</w:t>
      </w:r>
    </w:p>
    <w:p w:rsidR="00E85D42" w:rsidRDefault="008113B9">
      <w:pPr>
        <w:jc w:val="both"/>
        <w:rPr>
          <w:sz w:val="24"/>
          <w:szCs w:val="24"/>
        </w:rPr>
      </w:pPr>
      <w:r>
        <w:rPr>
          <w:sz w:val="24"/>
          <w:szCs w:val="24"/>
        </w:rPr>
        <w:tab/>
        <w:t>– риск инвестиций в недвижимость;</w:t>
      </w:r>
    </w:p>
    <w:p w:rsidR="00E85D42" w:rsidRDefault="008113B9">
      <w:pPr>
        <w:jc w:val="both"/>
        <w:rPr>
          <w:sz w:val="24"/>
          <w:szCs w:val="24"/>
        </w:rPr>
      </w:pPr>
      <w:r>
        <w:rPr>
          <w:sz w:val="24"/>
          <w:szCs w:val="24"/>
        </w:rPr>
        <w:tab/>
        <w:t>– риск низкой ликвидности объекта недвижимости;</w:t>
      </w:r>
    </w:p>
    <w:p w:rsidR="00E85D42" w:rsidRDefault="008113B9">
      <w:pPr>
        <w:jc w:val="both"/>
        <w:rPr>
          <w:sz w:val="24"/>
          <w:szCs w:val="24"/>
        </w:rPr>
      </w:pPr>
      <w:r>
        <w:rPr>
          <w:sz w:val="24"/>
          <w:szCs w:val="24"/>
        </w:rPr>
        <w:tab/>
        <w:t xml:space="preserve">– риск </w:t>
      </w:r>
      <w:r>
        <w:rPr>
          <w:sz w:val="24"/>
          <w:szCs w:val="24"/>
        </w:rPr>
        <w:t>инвестиционного менеджмента.</w:t>
      </w:r>
    </w:p>
    <w:p w:rsidR="00E85D42" w:rsidRDefault="008113B9">
      <w:pPr>
        <w:jc w:val="both"/>
        <w:rPr>
          <w:sz w:val="24"/>
          <w:szCs w:val="24"/>
        </w:rPr>
      </w:pPr>
      <w:r>
        <w:rPr>
          <w:sz w:val="24"/>
          <w:szCs w:val="24"/>
        </w:rPr>
        <w:tab/>
        <w:t>Риски вложения в объект недвижимости подразделяются на систематические и несистематические. На рынке в целом преобладающим является систематический риск. Стоимость конкретной приносящей доход собственности может быть связана с</w:t>
      </w:r>
      <w:r>
        <w:rPr>
          <w:sz w:val="24"/>
          <w:szCs w:val="24"/>
        </w:rPr>
        <w:t xml:space="preserve"> экономическими условиями на рынке.</w:t>
      </w:r>
    </w:p>
    <w:p w:rsidR="00E85D42" w:rsidRDefault="008113B9">
      <w:pPr>
        <w:jc w:val="both"/>
        <w:rPr>
          <w:sz w:val="24"/>
          <w:szCs w:val="24"/>
        </w:rPr>
      </w:pPr>
      <w:r>
        <w:rPr>
          <w:sz w:val="24"/>
          <w:szCs w:val="24"/>
        </w:rPr>
        <w:tab/>
        <w:t>Несистематический риск связан с конкретной оцениваемой собственностью и независимый от рисков, распространяющихся на сопоставимые объекты. Расчет поправки на риск вложения представлен в Таблице 5. Оценка рисков производ</w:t>
      </w:r>
      <w:r>
        <w:rPr>
          <w:sz w:val="24"/>
          <w:szCs w:val="24"/>
        </w:rPr>
        <w:t>ится по 10-бальной шкале.</w:t>
      </w:r>
    </w:p>
    <w:p w:rsidR="00E85D42" w:rsidRDefault="00E85D42">
      <w:pPr>
        <w:jc w:val="right"/>
        <w:rPr>
          <w:sz w:val="24"/>
          <w:szCs w:val="24"/>
        </w:rPr>
      </w:pPr>
    </w:p>
    <w:p w:rsidR="00E85D42" w:rsidRDefault="008113B9">
      <w:pPr>
        <w:jc w:val="right"/>
        <w:rPr>
          <w:sz w:val="24"/>
          <w:szCs w:val="24"/>
        </w:rPr>
      </w:pPr>
      <w:r>
        <w:rPr>
          <w:sz w:val="24"/>
          <w:szCs w:val="24"/>
        </w:rPr>
        <w:t>Таблица 3.6.10.2 Расчет поправки на риск вложения</w:t>
      </w:r>
    </w:p>
    <w:tbl>
      <w:tblPr>
        <w:tblW w:w="5000" w:type="pct"/>
        <w:tblCellMar>
          <w:left w:w="10" w:type="dxa"/>
          <w:right w:w="10" w:type="dxa"/>
        </w:tblCellMar>
        <w:tblLook w:val="04A0" w:firstRow="1" w:lastRow="0" w:firstColumn="1" w:lastColumn="0" w:noHBand="0" w:noVBand="1"/>
      </w:tblPr>
      <w:tblGrid>
        <w:gridCol w:w="4388"/>
        <w:gridCol w:w="1188"/>
        <w:gridCol w:w="395"/>
        <w:gridCol w:w="398"/>
        <w:gridCol w:w="396"/>
        <w:gridCol w:w="396"/>
        <w:gridCol w:w="396"/>
        <w:gridCol w:w="398"/>
        <w:gridCol w:w="396"/>
        <w:gridCol w:w="396"/>
        <w:gridCol w:w="396"/>
        <w:gridCol w:w="415"/>
      </w:tblGrid>
      <w:tr w:rsidR="00E85D42">
        <w:tblPrEx>
          <w:tblCellMar>
            <w:top w:w="0" w:type="dxa"/>
            <w:bottom w:w="0" w:type="dxa"/>
          </w:tblCellMar>
        </w:tblPrEx>
        <w:trPr>
          <w:trHeight w:val="281"/>
          <w:tblHeader/>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Вид и наименование риска</w:t>
            </w:r>
          </w:p>
        </w:tc>
        <w:tc>
          <w:tcPr>
            <w:tcW w:w="11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Категория риска</w:t>
            </w:r>
          </w:p>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1</w:t>
            </w:r>
          </w:p>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2</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3</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4</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5</w:t>
            </w:r>
          </w:p>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6</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7</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8</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9</w:t>
            </w:r>
          </w:p>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8113B9">
            <w:r>
              <w:t>10</w:t>
            </w:r>
          </w:p>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Систематический риск</w:t>
            </w:r>
          </w:p>
        </w:tc>
        <w:tc>
          <w:tcPr>
            <w:tcW w:w="11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E85D42"/>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Ухудшение общей экономической ситуации</w:t>
            </w:r>
          </w:p>
        </w:tc>
        <w:tc>
          <w:tcPr>
            <w:tcW w:w="11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динамичный</w:t>
            </w:r>
          </w:p>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E85D42"/>
        </w:tc>
      </w:tr>
      <w:tr w:rsidR="00E85D42">
        <w:tblPrEx>
          <w:tblCellMar>
            <w:top w:w="0" w:type="dxa"/>
            <w:bottom w:w="0" w:type="dxa"/>
          </w:tblCellMar>
        </w:tblPrEx>
        <w:trPr>
          <w:trHeight w:val="40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 xml:space="preserve">Изменение </w:t>
            </w:r>
            <w:r>
              <w:t>федерального или местного законодательства</w:t>
            </w:r>
          </w:p>
        </w:tc>
        <w:tc>
          <w:tcPr>
            <w:tcW w:w="11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динамичный</w:t>
            </w:r>
          </w:p>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E85D42"/>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Несистематическийриск</w:t>
            </w:r>
          </w:p>
        </w:tc>
        <w:tc>
          <w:tcPr>
            <w:tcW w:w="11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E85D42"/>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Природные и антропогенные чрезвычайные ситуации</w:t>
            </w:r>
          </w:p>
        </w:tc>
        <w:tc>
          <w:tcPr>
            <w:tcW w:w="11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статичный</w:t>
            </w:r>
          </w:p>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E85D42"/>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Криминогенные факторы</w:t>
            </w:r>
          </w:p>
        </w:tc>
        <w:tc>
          <w:tcPr>
            <w:tcW w:w="11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динамичный</w:t>
            </w:r>
          </w:p>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w:t>
            </w:r>
          </w:p>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E85D42"/>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Финансовые факторы</w:t>
            </w:r>
          </w:p>
        </w:tc>
        <w:tc>
          <w:tcPr>
            <w:tcW w:w="11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динамичный</w:t>
            </w:r>
          </w:p>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w:t>
            </w:r>
          </w:p>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E85D42"/>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Неправильное оформление документов</w:t>
            </w:r>
          </w:p>
        </w:tc>
        <w:tc>
          <w:tcPr>
            <w:tcW w:w="11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динамичный</w:t>
            </w:r>
          </w:p>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w:t>
            </w:r>
          </w:p>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E85D42"/>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E85D42"/>
        </w:tc>
      </w:tr>
      <w:tr w:rsidR="00E85D42">
        <w:tblPrEx>
          <w:tblCellMar>
            <w:top w:w="0" w:type="dxa"/>
            <w:bottom w:w="0" w:type="dxa"/>
          </w:tblCellMar>
        </w:tblPrEx>
        <w:trPr>
          <w:trHeight w:val="281"/>
        </w:trPr>
        <w:tc>
          <w:tcPr>
            <w:tcW w:w="5576" w:type="dxa"/>
            <w:gridSpan w:val="2"/>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Количество наблюдений</w:t>
            </w:r>
          </w:p>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3</w:t>
            </w:r>
          </w:p>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2</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1</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8113B9">
            <w:r>
              <w:t>0</w:t>
            </w:r>
          </w:p>
        </w:tc>
      </w:tr>
      <w:tr w:rsidR="00E85D42">
        <w:tblPrEx>
          <w:tblCellMar>
            <w:top w:w="0" w:type="dxa"/>
            <w:bottom w:w="0" w:type="dxa"/>
          </w:tblCellMar>
        </w:tblPrEx>
        <w:trPr>
          <w:trHeight w:val="281"/>
        </w:trPr>
        <w:tc>
          <w:tcPr>
            <w:tcW w:w="5576" w:type="dxa"/>
            <w:gridSpan w:val="2"/>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Взвешенный итог</w:t>
            </w:r>
          </w:p>
        </w:tc>
        <w:tc>
          <w:tcPr>
            <w:tcW w:w="395"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3</w:t>
            </w:r>
          </w:p>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4</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3</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396"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0</w:t>
            </w:r>
          </w:p>
        </w:tc>
        <w:tc>
          <w:tcPr>
            <w:tcW w:w="41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8113B9">
            <w:r>
              <w:t>0</w:t>
            </w:r>
          </w:p>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Сумма</w:t>
            </w:r>
          </w:p>
        </w:tc>
        <w:tc>
          <w:tcPr>
            <w:tcW w:w="5170"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8113B9">
            <w:r>
              <w:t>10</w:t>
            </w:r>
          </w:p>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Количество факторов</w:t>
            </w:r>
          </w:p>
        </w:tc>
        <w:tc>
          <w:tcPr>
            <w:tcW w:w="5170"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8113B9">
            <w:r>
              <w:t>6</w:t>
            </w:r>
          </w:p>
        </w:tc>
      </w:tr>
      <w:tr w:rsidR="00E85D42">
        <w:tblPrEx>
          <w:tblCellMar>
            <w:top w:w="0" w:type="dxa"/>
            <w:bottom w:w="0" w:type="dxa"/>
          </w:tblCellMar>
        </w:tblPrEx>
        <w:trPr>
          <w:trHeight w:val="281"/>
        </w:trPr>
        <w:tc>
          <w:tcPr>
            <w:tcW w:w="4388" w:type="dxa"/>
            <w:tcBorders>
              <w:top w:val="single" w:sz="6" w:space="0" w:color="000000"/>
              <w:left w:val="single" w:sz="6" w:space="0" w:color="000000"/>
              <w:bottom w:val="single" w:sz="6" w:space="0" w:color="000000"/>
            </w:tcBorders>
            <w:shd w:val="clear" w:color="auto" w:fill="auto"/>
            <w:tcMar>
              <w:top w:w="0" w:type="dxa"/>
              <w:left w:w="30" w:type="dxa"/>
              <w:bottom w:w="0" w:type="dxa"/>
              <w:right w:w="30" w:type="dxa"/>
            </w:tcMar>
            <w:vAlign w:val="center"/>
          </w:tcPr>
          <w:p w:rsidR="00E85D42" w:rsidRDefault="008113B9">
            <w:r>
              <w:t>Риск инвестиций в недвижимость</w:t>
            </w:r>
          </w:p>
        </w:tc>
        <w:tc>
          <w:tcPr>
            <w:tcW w:w="5170"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E85D42" w:rsidRDefault="008113B9">
            <w:r>
              <w:t>1,67%</w:t>
            </w:r>
          </w:p>
        </w:tc>
      </w:tr>
    </w:tbl>
    <w:p w:rsidR="00E85D42" w:rsidRDefault="00E85D42">
      <w:pPr>
        <w:rPr>
          <w:sz w:val="24"/>
          <w:szCs w:val="24"/>
        </w:rPr>
      </w:pPr>
    </w:p>
    <w:p w:rsidR="00E85D42" w:rsidRDefault="008113B9">
      <w:pPr>
        <w:rPr>
          <w:sz w:val="24"/>
          <w:szCs w:val="24"/>
        </w:rPr>
      </w:pPr>
      <w:r>
        <w:rPr>
          <w:sz w:val="24"/>
          <w:szCs w:val="24"/>
        </w:rPr>
        <w:t>Систематические риски:</w:t>
      </w:r>
    </w:p>
    <w:p w:rsidR="00E85D42" w:rsidRDefault="008113B9">
      <w:pPr>
        <w:rPr>
          <w:sz w:val="24"/>
          <w:szCs w:val="24"/>
        </w:rPr>
      </w:pPr>
      <w:r>
        <w:rPr>
          <w:sz w:val="24"/>
          <w:szCs w:val="24"/>
        </w:rPr>
        <w:t xml:space="preserve">Ухудшение общей </w:t>
      </w:r>
      <w:r>
        <w:rPr>
          <w:sz w:val="24"/>
          <w:szCs w:val="24"/>
        </w:rPr>
        <w:t>экономической ситуации.</w:t>
      </w:r>
    </w:p>
    <w:p w:rsidR="00E85D42" w:rsidRDefault="008113B9">
      <w:pPr>
        <w:jc w:val="both"/>
        <w:rPr>
          <w:sz w:val="24"/>
          <w:szCs w:val="24"/>
        </w:rPr>
      </w:pPr>
      <w:r>
        <w:rPr>
          <w:sz w:val="24"/>
          <w:szCs w:val="24"/>
        </w:rPr>
        <w:tab/>
        <w:t>Данному риску присвоено значение «2», так как Республика Башкортостан имеет рейтинг «2А» (Средний потенциал — минимальный риск) в рейтинге инвестиционной привлекательности «Эксперт РА».</w:t>
      </w:r>
    </w:p>
    <w:p w:rsidR="00E85D42" w:rsidRDefault="008113B9">
      <w:pPr>
        <w:jc w:val="both"/>
        <w:rPr>
          <w:sz w:val="24"/>
          <w:szCs w:val="24"/>
        </w:rPr>
      </w:pPr>
      <w:r>
        <w:rPr>
          <w:sz w:val="24"/>
          <w:szCs w:val="24"/>
        </w:rPr>
        <w:tab/>
        <w:t>Изменение федерального или местного законода</w:t>
      </w:r>
      <w:r>
        <w:rPr>
          <w:sz w:val="24"/>
          <w:szCs w:val="24"/>
        </w:rPr>
        <w:t>тельства. Данному риску присвоено значение «2», так как в республике и стране в целом невысокий уровень законодательного риска.</w:t>
      </w:r>
    </w:p>
    <w:p w:rsidR="00E85D42" w:rsidRDefault="008113B9">
      <w:pPr>
        <w:jc w:val="both"/>
        <w:rPr>
          <w:sz w:val="24"/>
          <w:szCs w:val="24"/>
        </w:rPr>
      </w:pPr>
      <w:r>
        <w:rPr>
          <w:sz w:val="24"/>
          <w:szCs w:val="24"/>
        </w:rPr>
        <w:t>Несистематические риски:</w:t>
      </w:r>
    </w:p>
    <w:p w:rsidR="00E85D42" w:rsidRDefault="008113B9">
      <w:pPr>
        <w:jc w:val="both"/>
        <w:rPr>
          <w:sz w:val="24"/>
          <w:szCs w:val="24"/>
        </w:rPr>
      </w:pPr>
      <w:r>
        <w:rPr>
          <w:sz w:val="24"/>
          <w:szCs w:val="24"/>
        </w:rPr>
        <w:tab/>
        <w:t>Природные и антропогенные факторы. Данному риску присвоено значение «3». В Республике Башкортостан дос</w:t>
      </w:r>
      <w:r>
        <w:rPr>
          <w:sz w:val="24"/>
          <w:szCs w:val="24"/>
        </w:rPr>
        <w:t xml:space="preserve">таточно благоприятные природные условия, климат области континентальный, опасность возникновения негативных антропогенных факторов невелика, вместе с тем, Республики Башкортостан по данным рейтингового агентства «Эксперт РА» был присвоен невысокий уровень </w:t>
      </w:r>
      <w:r>
        <w:rPr>
          <w:sz w:val="24"/>
          <w:szCs w:val="24"/>
        </w:rPr>
        <w:t>природно-ресурсного потенциала и средний уровень экологического риска.</w:t>
      </w:r>
    </w:p>
    <w:p w:rsidR="00E85D42" w:rsidRDefault="008113B9">
      <w:pPr>
        <w:jc w:val="both"/>
        <w:rPr>
          <w:sz w:val="24"/>
          <w:szCs w:val="24"/>
        </w:rPr>
      </w:pPr>
      <w:r>
        <w:rPr>
          <w:sz w:val="24"/>
          <w:szCs w:val="24"/>
        </w:rPr>
        <w:tab/>
        <w:t>Криминогенные факторы. Данному риску присвоено значения «1», так как ранг криминального риска Республики Башкортостан по данным рейтингового агентства «Эксперт РА» низкий.</w:t>
      </w:r>
    </w:p>
    <w:p w:rsidR="00E85D42" w:rsidRDefault="008113B9">
      <w:pPr>
        <w:jc w:val="both"/>
        <w:rPr>
          <w:sz w:val="24"/>
          <w:szCs w:val="24"/>
        </w:rPr>
      </w:pPr>
      <w:r>
        <w:rPr>
          <w:sz w:val="24"/>
          <w:szCs w:val="24"/>
        </w:rPr>
        <w:tab/>
        <w:t xml:space="preserve">Финансовые </w:t>
      </w:r>
      <w:r>
        <w:rPr>
          <w:sz w:val="24"/>
          <w:szCs w:val="24"/>
        </w:rPr>
        <w:t>факторы. Данному риску присвоено значение «2», так как ранг финансового риска для Республики Башкортостан по данным рейтингового агентства «Эксперт РА» невелик.</w:t>
      </w:r>
    </w:p>
    <w:p w:rsidR="00E85D42" w:rsidRDefault="008113B9">
      <w:pPr>
        <w:jc w:val="both"/>
        <w:rPr>
          <w:sz w:val="24"/>
          <w:szCs w:val="24"/>
        </w:rPr>
      </w:pPr>
      <w:r>
        <w:rPr>
          <w:sz w:val="24"/>
          <w:szCs w:val="24"/>
        </w:rPr>
        <w:tab/>
        <w:t>Неправильное оформление документов. Данному риску присвоено наименьшее значение – «1», так как</w:t>
      </w:r>
      <w:r>
        <w:rPr>
          <w:sz w:val="24"/>
          <w:szCs w:val="24"/>
        </w:rPr>
        <w:t xml:space="preserve"> данный риск невелик.</w:t>
      </w:r>
    </w:p>
    <w:p w:rsidR="00E85D42" w:rsidRDefault="008113B9">
      <w:pPr>
        <w:rPr>
          <w:sz w:val="24"/>
          <w:szCs w:val="24"/>
        </w:rPr>
      </w:pPr>
      <w:r>
        <w:rPr>
          <w:sz w:val="24"/>
          <w:szCs w:val="24"/>
        </w:rPr>
        <w:tab/>
        <w:t>Таким образом, надбавка за риск вложения в недвижимость равна 1.67%.</w:t>
      </w:r>
    </w:p>
    <w:p w:rsidR="00E85D42" w:rsidRDefault="008113B9">
      <w:pPr>
        <w:rPr>
          <w:sz w:val="24"/>
          <w:szCs w:val="24"/>
        </w:rPr>
      </w:pPr>
      <w:r>
        <w:rPr>
          <w:sz w:val="24"/>
          <w:szCs w:val="24"/>
        </w:rPr>
        <w:tab/>
        <w:t>Поправка на низкую ликвидность объекта недвижимости</w:t>
      </w:r>
    </w:p>
    <w:p w:rsidR="00E85D42" w:rsidRDefault="008113B9">
      <w:pPr>
        <w:jc w:val="both"/>
      </w:pPr>
      <w:r>
        <w:rPr>
          <w:sz w:val="24"/>
          <w:szCs w:val="24"/>
        </w:rPr>
        <w:tab/>
        <w:t>Поправка на низкую ликвидность есть риск длительной экспозиции при продаже, сдаче в аренду имущества. Оценивае</w:t>
      </w:r>
      <w:r>
        <w:rPr>
          <w:sz w:val="24"/>
          <w:szCs w:val="24"/>
        </w:rPr>
        <w:t>мые объекты представляют собой объекты собственности, способные потенциально приносить стабильный доход при эффективном управлении,  при этом срок экспозиции подобных объектов на рынке составит не менее 6 месяцев</w:t>
      </w:r>
      <w:r>
        <w:rPr>
          <w:rStyle w:val="af4"/>
          <w:sz w:val="24"/>
          <w:szCs w:val="24"/>
        </w:rPr>
        <w:footnoteReference w:id="28"/>
      </w:r>
      <w:r>
        <w:rPr>
          <w:sz w:val="24"/>
          <w:szCs w:val="24"/>
        </w:rPr>
        <w:t>.</w:t>
      </w:r>
    </w:p>
    <w:p w:rsidR="00E85D42" w:rsidRDefault="008113B9">
      <w:pPr>
        <w:jc w:val="both"/>
        <w:rPr>
          <w:sz w:val="24"/>
          <w:szCs w:val="24"/>
        </w:rPr>
      </w:pPr>
      <w:r>
        <w:rPr>
          <w:sz w:val="24"/>
          <w:szCs w:val="24"/>
        </w:rPr>
        <w:tab/>
        <w:t>Расчет поправки на низкую ликвидность выглядит следующим образом: (безрисковая ставка / 12 мес.)∙срок э</w:t>
      </w:r>
      <w:r>
        <w:rPr>
          <w:sz w:val="24"/>
          <w:szCs w:val="24"/>
        </w:rPr>
        <w:t>кспозиции = (8,74% /12 мес.)∙6 мес. = 4,37 %.</w:t>
      </w:r>
    </w:p>
    <w:p w:rsidR="00E85D42" w:rsidRDefault="008113B9">
      <w:pPr>
        <w:jc w:val="both"/>
        <w:rPr>
          <w:sz w:val="24"/>
          <w:szCs w:val="24"/>
        </w:rPr>
      </w:pPr>
      <w:r>
        <w:rPr>
          <w:sz w:val="24"/>
          <w:szCs w:val="24"/>
        </w:rPr>
        <w:tab/>
        <w:t>Поправка на инвестиционный менеджмент – это поправка на дополнительный риск, связанный с неэффективным управлением инвестициями – чем более рискованные инвестиции, тем более компетентного управления они требую</w:t>
      </w:r>
      <w:r>
        <w:rPr>
          <w:sz w:val="24"/>
          <w:szCs w:val="24"/>
        </w:rPr>
        <w:t>т. Из диапазона от 0 % до 5 %, в котором заключается значение поправки на инвестиционный менеджмент, с учетом специфики оцениваемых объектов (земли лесного фонда находятся в собственности Российской Федерации, и доход от которых поступает в федеральный и р</w:t>
      </w:r>
      <w:r>
        <w:rPr>
          <w:sz w:val="24"/>
          <w:szCs w:val="24"/>
        </w:rPr>
        <w:t>егиональный бюджеты), поправка на инвестиционный менеджмент  составит из возможных значений – 1%.</w:t>
      </w:r>
    </w:p>
    <w:p w:rsidR="00E85D42" w:rsidRDefault="008113B9">
      <w:pPr>
        <w:jc w:val="both"/>
        <w:rPr>
          <w:sz w:val="24"/>
          <w:szCs w:val="24"/>
        </w:rPr>
      </w:pPr>
      <w:r>
        <w:rPr>
          <w:sz w:val="24"/>
          <w:szCs w:val="24"/>
        </w:rPr>
        <w:tab/>
        <w:t>Таким образом, ставка дисконтирования, а соответственно и коэффициент капитализации составит 15,78%.</w:t>
      </w:r>
    </w:p>
    <w:p w:rsidR="00E85D42" w:rsidRDefault="008113B9">
      <w:pPr>
        <w:jc w:val="both"/>
      </w:pPr>
      <w:r>
        <w:rPr>
          <w:sz w:val="24"/>
          <w:szCs w:val="24"/>
        </w:rPr>
        <w:tab/>
      </w:r>
      <w:r>
        <w:rPr>
          <w:i/>
          <w:sz w:val="24"/>
          <w:szCs w:val="24"/>
        </w:rPr>
        <w:t xml:space="preserve">Расчет удельного показателя кадастровой стоимости </w:t>
      </w:r>
      <w:r>
        <w:rPr>
          <w:i/>
          <w:sz w:val="24"/>
          <w:szCs w:val="24"/>
        </w:rPr>
        <w:t>земель сегмента «Использование лесов» по основным лесообразующим породам в разрезе лесничеств Республики Башкортостан</w:t>
      </w:r>
    </w:p>
    <w:p w:rsidR="00E85D42" w:rsidRDefault="008113B9">
      <w:pPr>
        <w:jc w:val="both"/>
        <w:rPr>
          <w:sz w:val="24"/>
          <w:szCs w:val="24"/>
        </w:rPr>
      </w:pPr>
      <w:r>
        <w:rPr>
          <w:sz w:val="24"/>
          <w:szCs w:val="24"/>
        </w:rPr>
        <w:tab/>
        <w:t>Расчет удельного показателя кадастровой стоимости земель сегмента «Использование лесов» по основным лесообразующим породам в разрезе лесн</w:t>
      </w:r>
      <w:r>
        <w:rPr>
          <w:sz w:val="24"/>
          <w:szCs w:val="24"/>
        </w:rPr>
        <w:t>ичеств Республики Башкортостан производился путем деления удельного показателя рентного дохода на коэффициент капитализации:</w:t>
      </w:r>
    </w:p>
    <w:p w:rsidR="00E85D42" w:rsidRDefault="008113B9">
      <w:pPr>
        <w:jc w:val="center"/>
        <w:rPr>
          <w:sz w:val="24"/>
          <w:szCs w:val="24"/>
        </w:rPr>
      </w:pPr>
      <w:r>
        <w:rPr>
          <w:sz w:val="24"/>
          <w:szCs w:val="24"/>
        </w:rPr>
        <w:t>УПКС=УПРД / Кк,</w:t>
      </w:r>
    </w:p>
    <w:p w:rsidR="00E85D42" w:rsidRDefault="008113B9">
      <w:pPr>
        <w:rPr>
          <w:sz w:val="24"/>
          <w:szCs w:val="24"/>
        </w:rPr>
      </w:pPr>
      <w:r>
        <w:rPr>
          <w:sz w:val="24"/>
          <w:szCs w:val="24"/>
        </w:rPr>
        <w:t>где</w:t>
      </w:r>
    </w:p>
    <w:p w:rsidR="00E85D42" w:rsidRDefault="008113B9">
      <w:pPr>
        <w:rPr>
          <w:sz w:val="24"/>
          <w:szCs w:val="24"/>
        </w:rPr>
      </w:pPr>
      <w:r>
        <w:rPr>
          <w:sz w:val="24"/>
          <w:szCs w:val="24"/>
        </w:rPr>
        <w:t>УПКС – удельный показатель кадастровой стоимости (руб./га);</w:t>
      </w:r>
    </w:p>
    <w:p w:rsidR="00E85D42" w:rsidRDefault="008113B9">
      <w:pPr>
        <w:rPr>
          <w:sz w:val="24"/>
          <w:szCs w:val="24"/>
        </w:rPr>
      </w:pPr>
      <w:r>
        <w:rPr>
          <w:sz w:val="24"/>
          <w:szCs w:val="24"/>
        </w:rPr>
        <w:t>Кк – коэффициент капитализации.</w:t>
      </w:r>
    </w:p>
    <w:p w:rsidR="00E85D42" w:rsidRDefault="008113B9">
      <w:pPr>
        <w:jc w:val="both"/>
        <w:rPr>
          <w:sz w:val="24"/>
          <w:szCs w:val="24"/>
        </w:rPr>
      </w:pPr>
      <w:r>
        <w:rPr>
          <w:sz w:val="24"/>
          <w:szCs w:val="24"/>
        </w:rPr>
        <w:tab/>
        <w:t>Расчет удельного п</w:t>
      </w:r>
      <w:r>
        <w:rPr>
          <w:sz w:val="24"/>
          <w:szCs w:val="24"/>
        </w:rPr>
        <w:t>оказателя кадастровой стоимости земель сегмента «Использование лесов» по основным лесообразующим породам в разрезе лесничеств Республики Башкортостан представлен в Таблице 6.</w:t>
      </w:r>
    </w:p>
    <w:p w:rsidR="00E85D42" w:rsidRDefault="008113B9">
      <w:pPr>
        <w:jc w:val="both"/>
        <w:rPr>
          <w:sz w:val="24"/>
          <w:szCs w:val="24"/>
        </w:rPr>
      </w:pPr>
      <w:r>
        <w:rPr>
          <w:sz w:val="24"/>
          <w:szCs w:val="24"/>
        </w:rPr>
        <w:tab/>
        <w:t>Таблица 3.6.10.3 Расчет удельного показателя кадастровой стоимости земель сегмен</w:t>
      </w:r>
      <w:r>
        <w:rPr>
          <w:sz w:val="24"/>
          <w:szCs w:val="24"/>
        </w:rPr>
        <w:t>та «Использование лесов» по основным лесообразующим породам в разрезе лесничеств Республики Башкортостан</w:t>
      </w:r>
    </w:p>
    <w:tbl>
      <w:tblPr>
        <w:tblW w:w="5000" w:type="pct"/>
        <w:tblCellMar>
          <w:left w:w="10" w:type="dxa"/>
          <w:right w:w="10" w:type="dxa"/>
        </w:tblCellMar>
        <w:tblLook w:val="04A0" w:firstRow="1" w:lastRow="0" w:firstColumn="1" w:lastColumn="0" w:noHBand="0" w:noVBand="1"/>
      </w:tblPr>
      <w:tblGrid>
        <w:gridCol w:w="1779"/>
        <w:gridCol w:w="1815"/>
        <w:gridCol w:w="1865"/>
        <w:gridCol w:w="2001"/>
        <w:gridCol w:w="2254"/>
      </w:tblGrid>
      <w:tr w:rsidR="00E85D42">
        <w:tblPrEx>
          <w:tblCellMar>
            <w:top w:w="0" w:type="dxa"/>
            <w:bottom w:w="0" w:type="dxa"/>
          </w:tblCellMar>
        </w:tblPrEx>
        <w:trPr>
          <w:trHeight w:val="230"/>
        </w:trPr>
        <w:tc>
          <w:tcPr>
            <w:tcW w:w="17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Наименование лесничества</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Удельный показатель рентного дохода, руб./га</w:t>
            </w:r>
          </w:p>
        </w:tc>
        <w:tc>
          <w:tcPr>
            <w:tcW w:w="18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Ставка капитализации, %</w:t>
            </w:r>
          </w:p>
        </w:tc>
        <w:tc>
          <w:tcPr>
            <w:tcW w:w="20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Удельный показатель кадастровой стоимости, руб./га</w:t>
            </w:r>
          </w:p>
        </w:tc>
        <w:tc>
          <w:tcPr>
            <w:tcW w:w="22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18"/>
                <w:szCs w:val="18"/>
              </w:rPr>
            </w:pPr>
            <w:r>
              <w:rPr>
                <w:b/>
                <w:bCs/>
                <w:color w:val="000000"/>
                <w:sz w:val="18"/>
                <w:szCs w:val="18"/>
              </w:rPr>
              <w:t>Удельн</w:t>
            </w:r>
            <w:r>
              <w:rPr>
                <w:b/>
                <w:bCs/>
                <w:color w:val="000000"/>
                <w:sz w:val="18"/>
                <w:szCs w:val="18"/>
              </w:rPr>
              <w:t>ый показатель кадастровой стоимости, руб./кв.м</w:t>
            </w:r>
          </w:p>
        </w:tc>
      </w:tr>
      <w:tr w:rsidR="00E85D42">
        <w:tblPrEx>
          <w:tblCellMar>
            <w:top w:w="0" w:type="dxa"/>
            <w:bottom w:w="0" w:type="dxa"/>
          </w:tblCellMar>
        </w:tblPrEx>
        <w:trPr>
          <w:trHeight w:val="23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8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20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22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r>
      <w:tr w:rsidR="00E85D42">
        <w:tblPrEx>
          <w:tblCellMar>
            <w:top w:w="0" w:type="dxa"/>
            <w:bottom w:w="0" w:type="dxa"/>
          </w:tblCellMar>
        </w:tblPrEx>
        <w:trPr>
          <w:trHeight w:val="23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18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20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c>
          <w:tcPr>
            <w:tcW w:w="22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E85D42">
            <w:pPr>
              <w:rPr>
                <w:b/>
                <w:bCs/>
                <w:color w:val="000000"/>
                <w:sz w:val="18"/>
                <w:szCs w:val="18"/>
              </w:rPr>
            </w:pP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Абзелиловское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12 932,09</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81 952,38</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8,20</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Альшеевское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21 782,70</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138 039,93</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13,80</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Аскинское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20 794,48</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131 777,47</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13,18</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Баймакское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18 137,39</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114 939,12</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11,49</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Белокатайское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20 199,23</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128 005,25</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12,80</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Белорецкое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17 215,42</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109 096,42</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10,91</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Бирское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21 436,31</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135 844,78</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13,58</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Бурзянское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18 074,76</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114 542,21</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11,45</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Дюртюлинское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21 354,50</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135 326,37</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13,53</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Зианчуринское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18 599,59</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117 868,11</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11,79</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Зилаирское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15 095,69</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95 663,42</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9,57</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Иглинское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21 405,13</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135 647,23</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13,56</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Кугарчинское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17 856,41</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113 158,47</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11,32</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Макаровское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19 942,03</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126 375,33</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12,64</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Нуримановское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21 096,31</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133 690,18</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13,37</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Салаватское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20 191,69</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127 957,48</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12,80</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Стерлитамакское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19 932,98</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126 318,02</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12,63</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Туймазинское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19 848,28</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125 781,23</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12,58</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Уфимское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21 268,75</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134 782,96</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13,48</w:t>
            </w:r>
          </w:p>
        </w:tc>
      </w:tr>
      <w:tr w:rsidR="00E85D42">
        <w:tblPrEx>
          <w:tblCellMar>
            <w:top w:w="0" w:type="dxa"/>
            <w:bottom w:w="0" w:type="dxa"/>
          </w:tblCellMar>
        </w:tblPrEx>
        <w:trPr>
          <w:trHeight w:val="227"/>
        </w:trPr>
        <w:tc>
          <w:tcPr>
            <w:tcW w:w="17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sz w:val="18"/>
                <w:szCs w:val="18"/>
              </w:rPr>
            </w:pPr>
            <w:r>
              <w:rPr>
                <w:color w:val="000000"/>
                <w:sz w:val="18"/>
                <w:szCs w:val="18"/>
              </w:rPr>
              <w:t>Янаульское</w:t>
            </w:r>
          </w:p>
        </w:tc>
        <w:tc>
          <w:tcPr>
            <w:tcW w:w="18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21 475,55</w:t>
            </w:r>
          </w:p>
        </w:tc>
        <w:tc>
          <w:tcPr>
            <w:tcW w:w="186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sz w:val="18"/>
                <w:szCs w:val="18"/>
              </w:rPr>
            </w:pPr>
            <w:r>
              <w:rPr>
                <w:sz w:val="18"/>
                <w:szCs w:val="18"/>
              </w:rPr>
              <w:t>15,78%</w:t>
            </w:r>
          </w:p>
        </w:tc>
        <w:tc>
          <w:tcPr>
            <w:tcW w:w="20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136 093,47</w:t>
            </w:r>
          </w:p>
        </w:tc>
        <w:tc>
          <w:tcPr>
            <w:tcW w:w="225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18"/>
                <w:szCs w:val="18"/>
              </w:rPr>
            </w:pPr>
            <w:r>
              <w:rPr>
                <w:color w:val="000000"/>
                <w:sz w:val="18"/>
                <w:szCs w:val="18"/>
              </w:rPr>
              <w:t>13,61</w:t>
            </w:r>
          </w:p>
        </w:tc>
      </w:tr>
    </w:tbl>
    <w:p w:rsidR="00E85D42" w:rsidRDefault="00E85D42">
      <w:pPr>
        <w:jc w:val="both"/>
        <w:rPr>
          <w:sz w:val="24"/>
          <w:szCs w:val="24"/>
        </w:rPr>
      </w:pPr>
    </w:p>
    <w:p w:rsidR="00E85D42" w:rsidRDefault="008113B9">
      <w:pPr>
        <w:jc w:val="both"/>
        <w:rPr>
          <w:sz w:val="24"/>
          <w:szCs w:val="24"/>
        </w:rPr>
      </w:pPr>
      <w:r>
        <w:rPr>
          <w:sz w:val="24"/>
          <w:szCs w:val="24"/>
        </w:rPr>
        <w:tab/>
        <w:t xml:space="preserve">Удельные </w:t>
      </w:r>
      <w:r>
        <w:rPr>
          <w:sz w:val="24"/>
          <w:szCs w:val="24"/>
        </w:rPr>
        <w:t>показатели кадастровой стоимости земельных участков, предназначенных для ведения лесного хозяйства, равны рассчитанным значениям удельного показателя кадастровой стоимости земель лесного фонда по основным лесообразующим породам для лесничеств, в которых на</w:t>
      </w:r>
      <w:r>
        <w:rPr>
          <w:sz w:val="24"/>
          <w:szCs w:val="24"/>
        </w:rPr>
        <w:t>ходятся данные земельные участки.  http://bashkortostan.rcfh.ru/userfiles/files/02_Bashkortostan/lesfond_1.html</w:t>
      </w:r>
    </w:p>
    <w:p w:rsidR="00E85D42" w:rsidRDefault="008113B9">
      <w:pPr>
        <w:jc w:val="center"/>
        <w:rPr>
          <w:i/>
          <w:sz w:val="24"/>
          <w:szCs w:val="24"/>
        </w:rPr>
      </w:pPr>
      <w:r>
        <w:rPr>
          <w:i/>
          <w:sz w:val="24"/>
          <w:szCs w:val="24"/>
        </w:rPr>
        <w:t>Определение кадастровой стоимости земельных участков</w:t>
      </w:r>
    </w:p>
    <w:p w:rsidR="00E85D42" w:rsidRDefault="008113B9">
      <w:pPr>
        <w:jc w:val="both"/>
        <w:rPr>
          <w:sz w:val="24"/>
          <w:szCs w:val="24"/>
        </w:rPr>
      </w:pPr>
      <w:r>
        <w:rPr>
          <w:sz w:val="24"/>
          <w:szCs w:val="24"/>
        </w:rPr>
        <w:tab/>
        <w:t xml:space="preserve">Кадастровая стоимость земельного участка определяется как произведение значения удельного </w:t>
      </w:r>
      <w:r>
        <w:rPr>
          <w:sz w:val="24"/>
          <w:szCs w:val="24"/>
        </w:rPr>
        <w:t>показателя кадастровой стоимости земельного участка на его площадь.</w:t>
      </w:r>
    </w:p>
    <w:p w:rsidR="00E85D42" w:rsidRDefault="008113B9">
      <w:pPr>
        <w:jc w:val="both"/>
        <w:rPr>
          <w:sz w:val="24"/>
          <w:szCs w:val="24"/>
        </w:rPr>
      </w:pPr>
      <w:r>
        <w:rPr>
          <w:sz w:val="24"/>
          <w:szCs w:val="24"/>
        </w:rPr>
        <w:t>Результаты определения кадастровой стоимости земельных участков приводятся в Приложении 2.</w:t>
      </w:r>
    </w:p>
    <w:p w:rsidR="00E85D42" w:rsidRDefault="00E85D42">
      <w:pPr>
        <w:autoSpaceDE w:val="0"/>
        <w:ind w:firstLine="567"/>
        <w:jc w:val="both"/>
        <w:rPr>
          <w:rFonts w:eastAsia="Calibri"/>
          <w:sz w:val="24"/>
          <w:lang w:eastAsia="en-US"/>
        </w:rPr>
      </w:pPr>
    </w:p>
    <w:p w:rsidR="00E85D42" w:rsidRDefault="008113B9">
      <w:pPr>
        <w:pStyle w:val="8"/>
        <w:numPr>
          <w:ilvl w:val="2"/>
          <w:numId w:val="22"/>
        </w:numPr>
        <w:ind w:left="567" w:hanging="709"/>
        <w:jc w:val="left"/>
        <w:rPr>
          <w:rFonts w:eastAsia="Calibri"/>
          <w:b/>
          <w:sz w:val="24"/>
          <w:lang w:eastAsia="en-US"/>
        </w:rPr>
      </w:pPr>
      <w:r>
        <w:rPr>
          <w:rFonts w:eastAsia="Calibri"/>
          <w:b/>
          <w:sz w:val="24"/>
          <w:lang w:eastAsia="en-US"/>
        </w:rPr>
        <w:t>Расчет кадастровой стоимости земельных участков, отнесенных по виду разрешенного использования к</w:t>
      </w:r>
      <w:r>
        <w:rPr>
          <w:rFonts w:eastAsia="Calibri"/>
          <w:b/>
          <w:sz w:val="24"/>
          <w:lang w:eastAsia="en-US"/>
        </w:rPr>
        <w:t xml:space="preserve"> сегменту «Водные объекты": 11:000, 11:010, 11:020</w:t>
      </w:r>
    </w:p>
    <w:p w:rsidR="00E85D42" w:rsidRDefault="00E85D42">
      <w:pPr>
        <w:rPr>
          <w:rFonts w:eastAsia="Calibri"/>
          <w:lang w:eastAsia="en-US"/>
        </w:rPr>
      </w:pPr>
    </w:p>
    <w:p w:rsidR="00E85D42" w:rsidRDefault="008113B9">
      <w:pPr>
        <w:autoSpaceDE w:val="0"/>
        <w:ind w:firstLine="567"/>
        <w:jc w:val="both"/>
        <w:rPr>
          <w:rFonts w:eastAsia="Calibri"/>
          <w:sz w:val="24"/>
          <w:lang w:eastAsia="en-US"/>
        </w:rPr>
      </w:pPr>
      <w:r>
        <w:rPr>
          <w:rFonts w:eastAsia="Calibri"/>
          <w:sz w:val="24"/>
          <w:lang w:eastAsia="en-US"/>
        </w:rPr>
        <w:t>К данному сегменту относятся участки, используемые для общего и специального пользования водными ресурсами.</w:t>
      </w:r>
    </w:p>
    <w:p w:rsidR="00E85D42" w:rsidRDefault="008113B9">
      <w:pPr>
        <w:autoSpaceDE w:val="0"/>
        <w:ind w:firstLine="567"/>
        <w:jc w:val="both"/>
        <w:rPr>
          <w:rFonts w:eastAsia="Calibri"/>
          <w:sz w:val="24"/>
          <w:lang w:eastAsia="en-US"/>
        </w:rPr>
      </w:pPr>
      <w:r>
        <w:rPr>
          <w:rFonts w:eastAsia="Calibri"/>
          <w:sz w:val="24"/>
          <w:lang w:eastAsia="en-US"/>
        </w:rPr>
        <w:t>Рынок земельных участков подобного назначения отсутствует.</w:t>
      </w:r>
    </w:p>
    <w:p w:rsidR="00E85D42" w:rsidRDefault="008113B9">
      <w:pPr>
        <w:autoSpaceDE w:val="0"/>
        <w:ind w:firstLine="567"/>
        <w:jc w:val="both"/>
        <w:rPr>
          <w:rFonts w:eastAsia="Calibri"/>
          <w:sz w:val="24"/>
          <w:lang w:eastAsia="en-US"/>
        </w:rPr>
      </w:pPr>
      <w:r>
        <w:rPr>
          <w:rFonts w:eastAsia="Calibri"/>
          <w:sz w:val="24"/>
          <w:lang w:eastAsia="en-US"/>
        </w:rPr>
        <w:t>В соответствии с Методическими указан</w:t>
      </w:r>
      <w:r>
        <w:rPr>
          <w:rFonts w:eastAsia="Calibri"/>
          <w:sz w:val="24"/>
          <w:lang w:eastAsia="en-US"/>
        </w:rPr>
        <w:t>иями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p w:rsidR="00E85D42" w:rsidRDefault="008113B9">
      <w:pPr>
        <w:autoSpaceDE w:val="0"/>
        <w:ind w:firstLine="567"/>
        <w:jc w:val="both"/>
        <w:rPr>
          <w:rFonts w:eastAsia="Calibri"/>
          <w:sz w:val="24"/>
          <w:lang w:eastAsia="en-US"/>
        </w:rPr>
      </w:pPr>
      <w:r>
        <w:rPr>
          <w:rFonts w:eastAsia="Calibri"/>
          <w:sz w:val="24"/>
          <w:lang w:eastAsia="en-US"/>
        </w:rPr>
        <w:t>Определение кадастрово</w:t>
      </w:r>
      <w:r>
        <w:rPr>
          <w:rFonts w:eastAsia="Calibri"/>
          <w:sz w:val="24"/>
          <w:lang w:eastAsia="en-US"/>
        </w:rPr>
        <w:t>й стоимости земельных участков осуществляется при проведении анализа возможности получения дохода.</w:t>
      </w:r>
    </w:p>
    <w:p w:rsidR="00E85D42" w:rsidRDefault="008113B9">
      <w:pPr>
        <w:widowControl w:val="0"/>
        <w:autoSpaceDE w:val="0"/>
        <w:ind w:firstLine="709"/>
        <w:jc w:val="both"/>
      </w:pPr>
      <w:r>
        <w:rPr>
          <w:sz w:val="24"/>
          <w:lang w:eastAsia="en-US"/>
        </w:rPr>
        <w:t xml:space="preserve">Кадастровая стоимость участков рассчитана затратным походом, </w:t>
      </w:r>
      <w:r>
        <w:rPr>
          <w:sz w:val="24"/>
        </w:rPr>
        <w:t>исходя из затрат на межевание и оформление прав на них.</w:t>
      </w:r>
    </w:p>
    <w:p w:rsidR="00E85D42" w:rsidRDefault="00E85D42">
      <w:pPr>
        <w:autoSpaceDE w:val="0"/>
        <w:ind w:firstLine="567"/>
        <w:jc w:val="both"/>
        <w:rPr>
          <w:rFonts w:eastAsia="Calibri"/>
          <w:sz w:val="24"/>
          <w:lang w:eastAsia="en-US"/>
        </w:rPr>
      </w:pPr>
    </w:p>
    <w:p w:rsidR="00E85D42" w:rsidRDefault="008113B9">
      <w:pPr>
        <w:ind w:firstLine="709"/>
        <w:jc w:val="both"/>
      </w:pPr>
      <w:r>
        <w:rPr>
          <w:b/>
          <w:bCs/>
          <w:sz w:val="24"/>
        </w:rPr>
        <w:t>Расчет затрат на межевание и государств</w:t>
      </w:r>
      <w:r>
        <w:rPr>
          <w:b/>
          <w:bCs/>
          <w:sz w:val="24"/>
        </w:rPr>
        <w:t xml:space="preserve">енную регистрацию прав земельного участка </w:t>
      </w:r>
      <w:r>
        <w:rPr>
          <w:bCs/>
          <w:sz w:val="24"/>
        </w:rPr>
        <w:t xml:space="preserve">производился по формуле </w:t>
      </w:r>
    </w:p>
    <w:p w:rsidR="00E85D42" w:rsidRDefault="00E85D42">
      <w:pPr>
        <w:jc w:val="center"/>
        <w:rPr>
          <w:bCs/>
          <w:sz w:val="24"/>
          <w:szCs w:val="24"/>
        </w:rPr>
      </w:pPr>
    </w:p>
    <w:p w:rsidR="00E85D42" w:rsidRDefault="008113B9">
      <w:pPr>
        <w:jc w:val="center"/>
      </w:pPr>
      <w:r>
        <w:rPr>
          <w:bCs/>
          <w:sz w:val="24"/>
          <w:szCs w:val="24"/>
        </w:rPr>
        <w:t>С</w:t>
      </w:r>
      <w:r>
        <w:rPr>
          <w:bCs/>
          <w:sz w:val="24"/>
          <w:szCs w:val="24"/>
          <w:vertAlign w:val="subscript"/>
        </w:rPr>
        <w:t>зм и рег.пр.</w:t>
      </w:r>
      <w:r>
        <w:rPr>
          <w:bCs/>
          <w:sz w:val="24"/>
          <w:szCs w:val="24"/>
        </w:rPr>
        <w:t xml:space="preserve">= </w:t>
      </w:r>
      <w:r>
        <w:rPr>
          <w:bCs/>
          <w:sz w:val="24"/>
          <w:szCs w:val="24"/>
          <w:lang w:val="en-US"/>
        </w:rPr>
        <w:t>S</w:t>
      </w:r>
      <w:r>
        <w:rPr>
          <w:bCs/>
          <w:sz w:val="24"/>
          <w:szCs w:val="24"/>
          <w:vertAlign w:val="subscript"/>
        </w:rPr>
        <w:t>зу</w:t>
      </w:r>
      <w:r>
        <w:rPr>
          <w:bCs/>
          <w:sz w:val="24"/>
          <w:szCs w:val="24"/>
        </w:rPr>
        <w:t xml:space="preserve"> * С</w:t>
      </w:r>
      <w:r>
        <w:rPr>
          <w:bCs/>
          <w:sz w:val="24"/>
          <w:szCs w:val="24"/>
          <w:vertAlign w:val="subscript"/>
        </w:rPr>
        <w:t>зм</w:t>
      </w:r>
      <w:r>
        <w:rPr>
          <w:bCs/>
          <w:sz w:val="24"/>
          <w:szCs w:val="24"/>
        </w:rPr>
        <w:t xml:space="preserve"> </w:t>
      </w:r>
      <w:r>
        <w:rPr>
          <w:bCs/>
          <w:sz w:val="24"/>
          <w:szCs w:val="24"/>
          <w:vertAlign w:val="subscript"/>
        </w:rPr>
        <w:t xml:space="preserve">и г.рег.пр. (2019) </w:t>
      </w:r>
      <w:r>
        <w:rPr>
          <w:bCs/>
          <w:sz w:val="24"/>
          <w:szCs w:val="24"/>
        </w:rPr>
        <w:t>= S</w:t>
      </w:r>
      <w:r>
        <w:rPr>
          <w:bCs/>
          <w:sz w:val="24"/>
          <w:szCs w:val="24"/>
          <w:vertAlign w:val="subscript"/>
        </w:rPr>
        <w:t>зу</w:t>
      </w:r>
      <w:r>
        <w:rPr>
          <w:bCs/>
          <w:sz w:val="24"/>
          <w:szCs w:val="24"/>
        </w:rPr>
        <w:t xml:space="preserve"> *</w:t>
      </w:r>
      <w:r>
        <w:rPr>
          <w:sz w:val="24"/>
          <w:szCs w:val="24"/>
        </w:rPr>
        <w:t>116,75</w:t>
      </w:r>
      <w:r>
        <w:rPr>
          <w:bCs/>
          <w:sz w:val="24"/>
          <w:szCs w:val="24"/>
        </w:rPr>
        <w:t>*S</w:t>
      </w:r>
      <w:r>
        <w:rPr>
          <w:bCs/>
          <w:sz w:val="24"/>
          <w:szCs w:val="24"/>
          <w:vertAlign w:val="subscript"/>
        </w:rPr>
        <w:t>зу</w:t>
      </w:r>
      <w:r>
        <w:rPr>
          <w:bCs/>
          <w:sz w:val="24"/>
          <w:szCs w:val="24"/>
          <w:vertAlign w:val="superscript"/>
        </w:rPr>
        <w:t>-0,374</w:t>
      </w:r>
      <w:r>
        <w:rPr>
          <w:bCs/>
          <w:sz w:val="24"/>
          <w:szCs w:val="24"/>
        </w:rPr>
        <w:t xml:space="preserve"> , где</w:t>
      </w:r>
    </w:p>
    <w:p w:rsidR="00E85D42" w:rsidRDefault="00E85D42">
      <w:pPr>
        <w:jc w:val="center"/>
        <w:rPr>
          <w:bCs/>
          <w:sz w:val="24"/>
          <w:szCs w:val="24"/>
        </w:rPr>
      </w:pPr>
    </w:p>
    <w:p w:rsidR="00E85D42" w:rsidRDefault="008113B9">
      <w:r>
        <w:rPr>
          <w:bCs/>
          <w:sz w:val="24"/>
          <w:szCs w:val="24"/>
        </w:rPr>
        <w:t>С</w:t>
      </w:r>
      <w:r>
        <w:rPr>
          <w:bCs/>
          <w:sz w:val="24"/>
          <w:szCs w:val="24"/>
          <w:vertAlign w:val="subscript"/>
        </w:rPr>
        <w:t xml:space="preserve">зм и г.рег.пр.(2019) </w:t>
      </w:r>
      <w:r>
        <w:rPr>
          <w:bCs/>
          <w:sz w:val="24"/>
          <w:szCs w:val="24"/>
        </w:rPr>
        <w:t xml:space="preserve">– затраты на межевание и государственную регистрацию прав земельных участков по состоянию </w:t>
      </w:r>
      <w:r>
        <w:rPr>
          <w:bCs/>
          <w:sz w:val="24"/>
          <w:szCs w:val="24"/>
        </w:rPr>
        <w:t>на 01.01.2019г., руб./кв.м.</w:t>
      </w:r>
    </w:p>
    <w:p w:rsidR="00E85D42" w:rsidRDefault="008113B9">
      <w:r>
        <w:rPr>
          <w:b/>
          <w:bCs/>
          <w:sz w:val="24"/>
          <w:szCs w:val="24"/>
          <w:lang w:val="en-US"/>
        </w:rPr>
        <w:t>S</w:t>
      </w:r>
      <w:r>
        <w:rPr>
          <w:b/>
          <w:bCs/>
          <w:sz w:val="24"/>
          <w:szCs w:val="24"/>
          <w:vertAlign w:val="subscript"/>
        </w:rPr>
        <w:t>зу</w:t>
      </w:r>
      <w:r>
        <w:rPr>
          <w:bCs/>
          <w:sz w:val="24"/>
          <w:szCs w:val="24"/>
        </w:rPr>
        <w:t xml:space="preserve"> – площадь земельного участка, кв.м.</w:t>
      </w:r>
    </w:p>
    <w:p w:rsidR="00E85D42" w:rsidRDefault="00E85D42">
      <w:pPr>
        <w:jc w:val="both"/>
        <w:rPr>
          <w:sz w:val="24"/>
        </w:rPr>
      </w:pPr>
    </w:p>
    <w:p w:rsidR="00E85D42" w:rsidRDefault="008113B9">
      <w:pPr>
        <w:jc w:val="both"/>
        <w:rPr>
          <w:sz w:val="24"/>
        </w:rPr>
      </w:pPr>
      <w:r>
        <w:rPr>
          <w:sz w:val="24"/>
        </w:rPr>
        <w:t xml:space="preserve">Расчет земельных участков представлен в Приложении 2 - «Расчет Межевание». </w:t>
      </w:r>
    </w:p>
    <w:p w:rsidR="00E85D42" w:rsidRDefault="008113B9">
      <w:pPr>
        <w:autoSpaceDE w:val="0"/>
        <w:ind w:firstLine="720"/>
        <w:jc w:val="both"/>
        <w:rPr>
          <w:rFonts w:eastAsia="Calibri"/>
          <w:sz w:val="24"/>
          <w:lang w:eastAsia="en-US"/>
        </w:rPr>
      </w:pPr>
      <w:r>
        <w:rPr>
          <w:rFonts w:eastAsia="Calibri"/>
          <w:sz w:val="24"/>
          <w:lang w:eastAsia="en-US"/>
        </w:rPr>
        <w:t>Результаты определения кадастровой стоимости земельных участков приводятся в Приложении 2.</w:t>
      </w:r>
    </w:p>
    <w:p w:rsidR="00E85D42" w:rsidRDefault="00E85D42">
      <w:pPr>
        <w:autoSpaceDE w:val="0"/>
        <w:ind w:firstLine="567"/>
        <w:jc w:val="both"/>
        <w:rPr>
          <w:rFonts w:eastAsia="Calibri"/>
          <w:sz w:val="24"/>
          <w:lang w:eastAsia="en-US"/>
        </w:rPr>
      </w:pPr>
    </w:p>
    <w:p w:rsidR="00E85D42" w:rsidRDefault="008113B9">
      <w:pPr>
        <w:pStyle w:val="8"/>
        <w:numPr>
          <w:ilvl w:val="2"/>
          <w:numId w:val="22"/>
        </w:numPr>
        <w:ind w:left="567" w:hanging="709"/>
        <w:jc w:val="left"/>
        <w:rPr>
          <w:rFonts w:eastAsia="Calibri"/>
          <w:b/>
          <w:sz w:val="24"/>
          <w:lang w:eastAsia="en-US"/>
        </w:rPr>
      </w:pPr>
      <w:r>
        <w:rPr>
          <w:rFonts w:eastAsia="Calibri"/>
          <w:b/>
          <w:sz w:val="24"/>
          <w:lang w:eastAsia="en-US"/>
        </w:rPr>
        <w:t xml:space="preserve">Расчет кадастровой </w:t>
      </w:r>
      <w:r>
        <w:rPr>
          <w:rFonts w:eastAsia="Calibri"/>
          <w:b/>
          <w:sz w:val="24"/>
          <w:lang w:eastAsia="en-US"/>
        </w:rPr>
        <w:t>стоимости земельных участков, отнесенных по виду разрешенного использования к сегменту «Специальное, ритуальное использование, запас": 08:011, 12:000, 12:010, 12:020, 12:021, 12:030</w:t>
      </w:r>
    </w:p>
    <w:p w:rsidR="00E85D42" w:rsidRDefault="00E85D42">
      <w:pPr>
        <w:pStyle w:val="ab"/>
        <w:ind w:left="567"/>
        <w:rPr>
          <w:rFonts w:eastAsia="Calibri"/>
          <w:i/>
          <w:sz w:val="24"/>
          <w:lang w:eastAsia="en-US"/>
        </w:rPr>
      </w:pPr>
    </w:p>
    <w:p w:rsidR="00E85D42" w:rsidRDefault="008113B9">
      <w:pPr>
        <w:pStyle w:val="ab"/>
        <w:ind w:left="567" w:hanging="567"/>
      </w:pPr>
      <w:r>
        <w:rPr>
          <w:rFonts w:eastAsia="Calibri"/>
          <w:i/>
          <w:sz w:val="24"/>
          <w:lang w:eastAsia="en-US"/>
        </w:rPr>
        <w:t>Определение кадастровой стоимости земельных участков с видом использовани</w:t>
      </w:r>
      <w:r>
        <w:rPr>
          <w:rFonts w:eastAsia="Calibri"/>
          <w:i/>
          <w:sz w:val="24"/>
          <w:lang w:eastAsia="en-US"/>
        </w:rPr>
        <w:t xml:space="preserve">я </w:t>
      </w:r>
      <w:r>
        <w:rPr>
          <w:rFonts w:ascii="Cambria" w:eastAsia="Calibri" w:hAnsi="Cambria"/>
          <w:i/>
          <w:color w:val="404040"/>
          <w:sz w:val="24"/>
          <w:szCs w:val="20"/>
          <w:lang w:eastAsia="en-US"/>
        </w:rPr>
        <w:t>08:011, 12:000, 12:010, 12:030</w:t>
      </w:r>
    </w:p>
    <w:p w:rsidR="00E85D42" w:rsidRDefault="008113B9">
      <w:pPr>
        <w:jc w:val="both"/>
      </w:pPr>
      <w:r>
        <w:rPr>
          <w:color w:val="000000"/>
          <w:sz w:val="24"/>
        </w:rPr>
        <w:t xml:space="preserve">        Земельные участки законодательно исключены из хозяйственного оборота, либо ограничены в обороте, не подлежат приватизации или имеют сервитут, существенно ограничивающий оборот земельных участков. </w:t>
      </w:r>
    </w:p>
    <w:p w:rsidR="00E85D42" w:rsidRDefault="008113B9">
      <w:pPr>
        <w:widowControl w:val="0"/>
        <w:autoSpaceDE w:val="0"/>
        <w:ind w:firstLine="539"/>
        <w:jc w:val="both"/>
        <w:rPr>
          <w:sz w:val="24"/>
          <w:lang w:eastAsia="en-US"/>
        </w:rPr>
      </w:pPr>
      <w:r>
        <w:rPr>
          <w:sz w:val="24"/>
          <w:lang w:eastAsia="en-US"/>
        </w:rPr>
        <w:t xml:space="preserve">В соответствии с </w:t>
      </w:r>
      <w:r>
        <w:rPr>
          <w:sz w:val="24"/>
          <w:lang w:eastAsia="en-US"/>
        </w:rPr>
        <w:t xml:space="preserve">Методическими указаниями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 </w:t>
      </w:r>
    </w:p>
    <w:p w:rsidR="00E85D42" w:rsidRDefault="008113B9">
      <w:pPr>
        <w:autoSpaceDE w:val="0"/>
        <w:ind w:firstLine="567"/>
        <w:jc w:val="both"/>
        <w:rPr>
          <w:rFonts w:eastAsia="Calibri"/>
          <w:sz w:val="24"/>
          <w:lang w:eastAsia="en-US"/>
        </w:rPr>
      </w:pPr>
      <w:r>
        <w:rPr>
          <w:rFonts w:eastAsia="Calibri"/>
          <w:sz w:val="24"/>
          <w:lang w:eastAsia="en-US"/>
        </w:rPr>
        <w:t>О</w:t>
      </w:r>
      <w:r>
        <w:rPr>
          <w:rFonts w:eastAsia="Calibri"/>
          <w:sz w:val="24"/>
          <w:lang w:eastAsia="en-US"/>
        </w:rPr>
        <w:t>пределение кадастровой стоимости земельных участков осуществляется при проведении анализа возможности получения дохода.</w:t>
      </w:r>
    </w:p>
    <w:p w:rsidR="00E85D42" w:rsidRDefault="008113B9">
      <w:pPr>
        <w:widowControl w:val="0"/>
        <w:autoSpaceDE w:val="0"/>
        <w:ind w:firstLine="709"/>
        <w:jc w:val="both"/>
      </w:pPr>
      <w:r>
        <w:rPr>
          <w:sz w:val="24"/>
          <w:lang w:eastAsia="en-US"/>
        </w:rPr>
        <w:t xml:space="preserve">Кадастровая стоимость участков рассчитана затратным походом, </w:t>
      </w:r>
      <w:r>
        <w:rPr>
          <w:sz w:val="24"/>
        </w:rPr>
        <w:t>исходя из затрат на межевание и оформление прав на них.</w:t>
      </w:r>
    </w:p>
    <w:p w:rsidR="00E85D42" w:rsidRDefault="00E85D42">
      <w:pPr>
        <w:widowControl w:val="0"/>
        <w:autoSpaceDE w:val="0"/>
        <w:ind w:firstLine="539"/>
        <w:jc w:val="both"/>
        <w:rPr>
          <w:sz w:val="24"/>
        </w:rPr>
      </w:pPr>
    </w:p>
    <w:p w:rsidR="00E85D42" w:rsidRDefault="008113B9">
      <w:pPr>
        <w:jc w:val="both"/>
      </w:pPr>
      <w:r>
        <w:rPr>
          <w:b/>
          <w:bCs/>
          <w:sz w:val="24"/>
        </w:rPr>
        <w:t xml:space="preserve">         Расчет за</w:t>
      </w:r>
      <w:r>
        <w:rPr>
          <w:b/>
          <w:bCs/>
          <w:sz w:val="24"/>
        </w:rPr>
        <w:t xml:space="preserve">трат на межевание и государственную регистрацию прав земельного участка </w:t>
      </w:r>
      <w:r>
        <w:rPr>
          <w:bCs/>
          <w:sz w:val="24"/>
        </w:rPr>
        <w:t xml:space="preserve">производился по формуле </w:t>
      </w:r>
    </w:p>
    <w:p w:rsidR="00E85D42" w:rsidRDefault="008113B9">
      <w:pPr>
        <w:jc w:val="both"/>
      </w:pPr>
      <m:oMath>
        <m:r>
          <m:rPr>
            <m:sty m:val="bi"/>
          </m:rPr>
          <w:rPr>
            <w:rFonts w:ascii="Cambria Math" w:hAnsi="Cambria Math"/>
          </w:rPr>
          <m:t>C</m:t>
        </m:r>
        <m:r>
          <w:rPr>
            <w:rFonts w:ascii="Cambria Math" w:hAnsi="Cambria Math"/>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зм и г</m:t>
            </m:r>
            <m:r>
              <w:rPr>
                <w:rFonts w:ascii="Cambria Math" w:hAnsi="Cambria Math"/>
              </w:rPr>
              <m:t>.</m:t>
            </m:r>
            <m:r>
              <m:rPr>
                <m:sty m:val="bi"/>
              </m:rPr>
              <w:rPr>
                <w:rFonts w:ascii="Cambria Math" w:hAnsi="Cambria Math"/>
              </w:rPr>
              <m:t>рег</m:t>
            </m:r>
            <m:r>
              <w:rPr>
                <w:rFonts w:ascii="Cambria Math" w:hAnsi="Cambria Math"/>
              </w:rPr>
              <m:t>.</m:t>
            </m:r>
            <m:r>
              <m:rPr>
                <m:sty m:val="bi"/>
              </m:rPr>
              <w:rPr>
                <w:rFonts w:ascii="Cambria Math" w:hAnsi="Cambria Math"/>
              </w:rPr>
              <m:t>пр</m:t>
            </m:r>
            <m:r>
              <w:rPr>
                <w:rFonts w:ascii="Cambria Math" w:hAnsi="Cambria Math"/>
              </w:rPr>
              <m:t>.</m:t>
            </m:r>
          </m:sub>
        </m:sSub>
        <m: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ЗУ</m:t>
            </m:r>
          </m:sub>
        </m:sSub>
        <m:r>
          <m:rPr>
            <m:sty m:val="p"/>
          </m:rPr>
          <w:rPr>
            <w:rFonts w:ascii="Cambria Math" w:hAnsi="Cambria Math"/>
          </w:rPr>
          <m:t xml:space="preserve"> </m:t>
        </m:r>
        <m:r>
          <m:rPr>
            <m:sty m:val="bi"/>
          </m:rPr>
          <w:rPr>
            <w:rFonts w:ascii="Cambria Math" w:hAnsi="Cambria Math"/>
          </w:rPr>
          <w:tab/>
        </m:r>
        <m:r>
          <m:rPr>
            <m:sty m:val="bi"/>
          </m:rPr>
          <w:rPr>
            <w:rFonts w:ascii="Cambria Math" w:hAnsi="Cambria Math"/>
          </w:rPr>
          <w:tab/>
        </m:r>
        <m:r>
          <m:rPr>
            <m:sty m:val="bi"/>
          </m:rPr>
          <w:rPr>
            <w:rFonts w:ascii="Cambria Math" w:hAnsi="Cambria Math"/>
          </w:rPr>
          <w:tab/>
        </m:r>
        <m:r>
          <m:rPr>
            <m:sty m:val="bi"/>
          </m:rPr>
          <w:rPr>
            <w:rFonts w:ascii="Cambria Math" w:hAnsi="Cambria Math"/>
          </w:rPr>
          <w:tab/>
        </m:r>
        <m:r>
          <m:rPr>
            <m:sty m:val="bi"/>
          </m:rPr>
          <w:rPr>
            <w:rFonts w:ascii="Cambria Math" w:hAnsi="Cambria Math"/>
          </w:rPr>
          <w:tab/>
        </m:r>
        <m:r>
          <w:rPr>
            <w:rFonts w:ascii="Cambria Math" w:hAnsi="Cambria Math"/>
          </w:rPr>
          <m:t>,</m:t>
        </m:r>
        <m:r>
          <m:rPr>
            <m:sty m:val="p"/>
          </m:rPr>
          <w:rPr>
            <w:rFonts w:ascii="Cambria Math" w:hAnsi="Cambria Math"/>
          </w:rPr>
          <m:t xml:space="preserve"> </m:t>
        </m:r>
        <m:r>
          <m:rPr>
            <m:sty m:val="bi"/>
          </m:rPr>
          <w:rPr>
            <w:rFonts w:ascii="Cambria Math" w:hAnsi="Cambria Math"/>
          </w:rPr>
          <w:tab/>
        </m:r>
        <m:r>
          <m:rPr>
            <m:sty m:val="bi"/>
          </m:rPr>
          <w:rPr>
            <w:rFonts w:ascii="Cambria Math" w:hAnsi="Cambria Math"/>
          </w:rPr>
          <w:tab/>
        </m:r>
        <m:r>
          <m:rPr>
            <m:sty m:val="bi"/>
          </m:rPr>
          <w:rPr>
            <w:rFonts w:ascii="Cambria Math" w:hAnsi="Cambria Math"/>
          </w:rPr>
          <w:tab/>
        </m:r>
        <m:r>
          <m:rPr>
            <m:sty m:val="bi"/>
          </m:rPr>
          <w:rPr>
            <w:rFonts w:ascii="Cambria Math" w:hAnsi="Cambria Math"/>
          </w:rPr>
          <w:tab/>
        </m:r>
        <m:r>
          <m:rPr>
            <m:sty m:val="bi"/>
          </m:rPr>
          <w:rPr>
            <w:rFonts w:ascii="Cambria Math" w:hAnsi="Cambria Math"/>
          </w:rPr>
          <w:tab/>
        </m:r>
      </m:oMath>
      <w:r>
        <w:rPr>
          <w:bCs/>
          <w:sz w:val="24"/>
        </w:rPr>
        <w:t>где</w:t>
      </w:r>
    </w:p>
    <w:p w:rsidR="00E85D42" w:rsidRDefault="008113B9">
      <w:pPr>
        <w:jc w:val="both"/>
      </w:pPr>
      <w:r>
        <w:rPr>
          <w:b/>
          <w:bCs/>
          <w:sz w:val="24"/>
        </w:rPr>
        <w:t>С зм и г. рег. пр.</w:t>
      </w:r>
      <w:r>
        <w:rPr>
          <w:bCs/>
          <w:sz w:val="24"/>
        </w:rPr>
        <w:t xml:space="preserve"> – затраты на межевание и государственная регистрация прав, руб/кв.м.</w:t>
      </w:r>
    </w:p>
    <w:p w:rsidR="00E85D42" w:rsidRDefault="008113B9">
      <w:pPr>
        <w:jc w:val="both"/>
      </w:pPr>
      <w:r>
        <w:rPr>
          <w:b/>
          <w:bCs/>
          <w:sz w:val="24"/>
          <w:lang w:val="en-US"/>
        </w:rPr>
        <w:t>S</w:t>
      </w:r>
      <w:r>
        <w:rPr>
          <w:b/>
          <w:bCs/>
          <w:sz w:val="24"/>
        </w:rPr>
        <w:t xml:space="preserve"> зу</w:t>
      </w:r>
      <w:r>
        <w:rPr>
          <w:bCs/>
          <w:sz w:val="24"/>
        </w:rPr>
        <w:t xml:space="preserve"> – площадь земельного участка, кв.м.</w:t>
      </w:r>
    </w:p>
    <w:p w:rsidR="00E85D42" w:rsidRDefault="008113B9">
      <w:pPr>
        <w:jc w:val="both"/>
        <w:rPr>
          <w:sz w:val="24"/>
        </w:rPr>
      </w:pPr>
      <w:r>
        <w:rPr>
          <w:sz w:val="24"/>
        </w:rPr>
        <w:t xml:space="preserve">Расчет земельных участков </w:t>
      </w:r>
      <w:r>
        <w:rPr>
          <w:sz w:val="24"/>
        </w:rPr>
        <w:t xml:space="preserve">представлены в Приложении 2 - «Расчет Межевание» </w:t>
      </w:r>
    </w:p>
    <w:p w:rsidR="00E85D42" w:rsidRDefault="008113B9">
      <w:pPr>
        <w:autoSpaceDE w:val="0"/>
        <w:ind w:firstLine="720"/>
        <w:jc w:val="both"/>
      </w:pPr>
      <w:r>
        <w:rPr>
          <w:rFonts w:eastAsia="Calibri"/>
          <w:sz w:val="24"/>
          <w:lang w:eastAsia="en-US"/>
        </w:rPr>
        <w:t xml:space="preserve">Результаты определения кадастровой стоимости земельных участков приводятся в </w:t>
      </w:r>
      <w:r>
        <w:rPr>
          <w:rFonts w:eastAsia="Calibri"/>
          <w:color w:val="000000"/>
          <w:sz w:val="24"/>
          <w:lang w:eastAsia="en-US"/>
        </w:rPr>
        <w:t>Приложении 3.</w:t>
      </w:r>
    </w:p>
    <w:p w:rsidR="00E85D42" w:rsidRDefault="00E85D42">
      <w:pPr>
        <w:autoSpaceDE w:val="0"/>
        <w:ind w:firstLine="720"/>
        <w:jc w:val="both"/>
        <w:rPr>
          <w:rFonts w:eastAsia="Calibri"/>
          <w:color w:val="000000"/>
          <w:sz w:val="24"/>
          <w:lang w:eastAsia="en-US"/>
        </w:rPr>
      </w:pPr>
    </w:p>
    <w:p w:rsidR="00E85D42" w:rsidRDefault="008113B9">
      <w:pPr>
        <w:pStyle w:val="ab"/>
        <w:ind w:left="0" w:firstLine="567"/>
      </w:pPr>
      <w:r>
        <w:rPr>
          <w:rFonts w:eastAsia="Calibri"/>
          <w:i/>
          <w:sz w:val="24"/>
          <w:lang w:eastAsia="en-US"/>
        </w:rPr>
        <w:t xml:space="preserve">Определение кадастровой стоимости земельных участков с видом использования </w:t>
      </w:r>
      <w:r>
        <w:rPr>
          <w:rFonts w:eastAsia="Calibri"/>
          <w:i/>
          <w:color w:val="404040"/>
          <w:sz w:val="24"/>
          <w:szCs w:val="20"/>
          <w:lang w:eastAsia="en-US"/>
        </w:rPr>
        <w:t xml:space="preserve">12:020, 12:021 </w:t>
      </w:r>
      <w:r>
        <w:rPr>
          <w:rFonts w:eastAsia="Calibri"/>
          <w:color w:val="404040"/>
          <w:sz w:val="24"/>
          <w:szCs w:val="20"/>
          <w:lang w:eastAsia="en-US"/>
        </w:rPr>
        <w:t>производен индивидуально</w:t>
      </w:r>
      <w:r>
        <w:rPr>
          <w:rFonts w:eastAsia="Calibri"/>
          <w:color w:val="404040"/>
          <w:sz w:val="24"/>
          <w:szCs w:val="20"/>
          <w:lang w:eastAsia="en-US"/>
        </w:rPr>
        <w:t xml:space="preserve"> в отношении объектов недвижимости. Описание проведенных расчетов приведено в разделе </w:t>
      </w:r>
      <w:hyperlink r:id="rId357" w:history="1">
        <w:r>
          <w:rPr>
            <w:rStyle w:val="a5"/>
            <w:rFonts w:eastAsia="Calibri"/>
            <w:sz w:val="24"/>
            <w:szCs w:val="20"/>
            <w:lang w:eastAsia="en-US"/>
          </w:rPr>
          <w:t>3.5. Отчета.</w:t>
        </w:r>
      </w:hyperlink>
    </w:p>
    <w:p w:rsidR="00E85D42" w:rsidRDefault="00E85D42">
      <w:pPr>
        <w:autoSpaceDE w:val="0"/>
        <w:ind w:firstLine="720"/>
        <w:jc w:val="both"/>
        <w:rPr>
          <w:rFonts w:eastAsia="Calibri"/>
          <w:b/>
          <w:sz w:val="24"/>
          <w:lang w:eastAsia="en-US"/>
        </w:rPr>
      </w:pPr>
    </w:p>
    <w:p w:rsidR="00E85D42" w:rsidRDefault="008113B9">
      <w:pPr>
        <w:pStyle w:val="8"/>
        <w:numPr>
          <w:ilvl w:val="2"/>
          <w:numId w:val="22"/>
        </w:numPr>
        <w:ind w:left="567" w:hanging="709"/>
        <w:jc w:val="left"/>
        <w:rPr>
          <w:rFonts w:ascii="Times New Roman" w:eastAsia="Calibri" w:hAnsi="Times New Roman"/>
          <w:b/>
          <w:sz w:val="24"/>
          <w:lang w:eastAsia="en-US"/>
        </w:rPr>
      </w:pPr>
      <w:r>
        <w:rPr>
          <w:rFonts w:ascii="Times New Roman" w:eastAsia="Calibri" w:hAnsi="Times New Roman"/>
          <w:b/>
          <w:sz w:val="24"/>
          <w:lang w:eastAsia="en-US"/>
        </w:rPr>
        <w:t>Расчет кадастровой стоимости земельных участков, отнесенных по виду разрешенного использования к 13 сегменту «Садоводство и</w:t>
      </w:r>
      <w:r>
        <w:rPr>
          <w:rFonts w:ascii="Times New Roman" w:eastAsia="Calibri" w:hAnsi="Times New Roman"/>
          <w:b/>
          <w:sz w:val="24"/>
          <w:lang w:eastAsia="en-US"/>
        </w:rPr>
        <w:t xml:space="preserve"> огородничество, малоэтажная жилая застройка»: 02:010, 02:011, 02:013, 02:014, 02:020, 02:021, 02:030, 02:031, 13:000, 13:011, 13:021, 13:031.</w:t>
      </w:r>
    </w:p>
    <w:p w:rsidR="00E85D42" w:rsidRDefault="00E85D42">
      <w:pPr>
        <w:rPr>
          <w:lang w:eastAsia="en-US"/>
        </w:rPr>
      </w:pPr>
    </w:p>
    <w:p w:rsidR="00E85D42" w:rsidRDefault="008113B9">
      <w:pPr>
        <w:pStyle w:val="af0"/>
        <w:spacing w:after="0"/>
        <w:ind w:left="0" w:firstLine="720"/>
      </w:pPr>
      <w:r>
        <w:rPr>
          <w:sz w:val="24"/>
        </w:rPr>
        <w:t xml:space="preserve">Определение кадастровой стоимости земельных участков с видами использования 02:010, 02:011, 02:013, 02:014, </w:t>
      </w:r>
      <w:r>
        <w:rPr>
          <w:sz w:val="24"/>
        </w:rPr>
        <w:t xml:space="preserve">02:020, 02:021, 02:030, 02:031, 13:000, 13:011, 13:021, 13:031, </w:t>
      </w:r>
      <w:r>
        <w:rPr>
          <w:sz w:val="24"/>
        </w:rPr>
        <w:t>в соответствии с методическими указаниями, утвержденных приказом министерства экономического развития Российской Федерации от 12.05.2017 № 226 осуществляются на основе построения статистически</w:t>
      </w:r>
      <w:r>
        <w:rPr>
          <w:sz w:val="24"/>
        </w:rPr>
        <w:t xml:space="preserve">х моделей расчета кадастровой стоимости земельных участков в следующем порядке: </w:t>
      </w:r>
    </w:p>
    <w:p w:rsidR="00E85D42" w:rsidRDefault="008113B9">
      <w:pPr>
        <w:pStyle w:val="af0"/>
        <w:spacing w:after="0"/>
        <w:ind w:left="0" w:firstLine="720"/>
        <w:rPr>
          <w:sz w:val="24"/>
        </w:rPr>
      </w:pPr>
      <w:r>
        <w:rPr>
          <w:sz w:val="24"/>
        </w:rPr>
        <w:t>– определение состава факторов стоимости земельных участков;</w:t>
      </w:r>
    </w:p>
    <w:p w:rsidR="00E85D42" w:rsidRDefault="008113B9">
      <w:pPr>
        <w:pStyle w:val="af0"/>
        <w:spacing w:after="0"/>
        <w:ind w:left="0" w:firstLine="720"/>
        <w:rPr>
          <w:sz w:val="24"/>
        </w:rPr>
      </w:pPr>
      <w:r>
        <w:rPr>
          <w:sz w:val="24"/>
        </w:rPr>
        <w:t>– сбор сведений о значениях факторов стоимости земельных участков;</w:t>
      </w:r>
    </w:p>
    <w:p w:rsidR="00E85D42" w:rsidRDefault="008113B9">
      <w:pPr>
        <w:pStyle w:val="af0"/>
        <w:spacing w:after="0"/>
        <w:ind w:left="0" w:firstLine="720"/>
        <w:rPr>
          <w:sz w:val="24"/>
        </w:rPr>
      </w:pPr>
      <w:r>
        <w:rPr>
          <w:sz w:val="24"/>
        </w:rPr>
        <w:t>– создание слоев цифровых тематических карт нас</w:t>
      </w:r>
      <w:r>
        <w:rPr>
          <w:sz w:val="24"/>
        </w:rPr>
        <w:t>еленных пунктов;</w:t>
      </w:r>
    </w:p>
    <w:p w:rsidR="00E85D42" w:rsidRDefault="008113B9">
      <w:pPr>
        <w:pStyle w:val="af0"/>
        <w:spacing w:after="0"/>
        <w:ind w:left="0" w:firstLine="720"/>
        <w:rPr>
          <w:sz w:val="24"/>
        </w:rPr>
      </w:pPr>
      <w:r>
        <w:rPr>
          <w:sz w:val="24"/>
        </w:rPr>
        <w:t>– группировка земельных участков в составе земель населенных пунктов;</w:t>
      </w:r>
    </w:p>
    <w:p w:rsidR="00E85D42" w:rsidRDefault="008113B9">
      <w:pPr>
        <w:pStyle w:val="af0"/>
        <w:spacing w:after="0"/>
        <w:ind w:left="0" w:firstLine="720"/>
        <w:rPr>
          <w:sz w:val="24"/>
        </w:rPr>
      </w:pPr>
      <w:r>
        <w:rPr>
          <w:sz w:val="24"/>
        </w:rPr>
        <w:t>– сбор достаточной и достоверной рыночной информации о земельных участках для каждой сформированной группы;</w:t>
      </w:r>
    </w:p>
    <w:p w:rsidR="00E85D42" w:rsidRDefault="008113B9">
      <w:pPr>
        <w:pStyle w:val="af0"/>
        <w:spacing w:after="0"/>
        <w:ind w:left="0" w:firstLine="720"/>
        <w:rPr>
          <w:sz w:val="24"/>
        </w:rPr>
      </w:pPr>
      <w:r>
        <w:rPr>
          <w:sz w:val="24"/>
        </w:rPr>
        <w:t>– построение статистических моделей расчета кадастровой стоим</w:t>
      </w:r>
      <w:r>
        <w:rPr>
          <w:sz w:val="24"/>
        </w:rPr>
        <w:t>ости для каждой сформированной группы земельных участков;</w:t>
      </w:r>
    </w:p>
    <w:p w:rsidR="00E85D42" w:rsidRDefault="008113B9">
      <w:pPr>
        <w:pStyle w:val="af0"/>
        <w:spacing w:after="0"/>
        <w:ind w:left="0" w:firstLine="720"/>
        <w:rPr>
          <w:sz w:val="24"/>
        </w:rPr>
      </w:pPr>
      <w:r>
        <w:rPr>
          <w:sz w:val="24"/>
        </w:rPr>
        <w:t>– расчет кадастровой стоимости земельных участков.</w:t>
      </w:r>
    </w:p>
    <w:p w:rsidR="00E85D42" w:rsidRDefault="00E85D42">
      <w:pPr>
        <w:pStyle w:val="af0"/>
        <w:spacing w:after="0"/>
        <w:ind w:left="0" w:firstLine="720"/>
        <w:rPr>
          <w:b/>
          <w:sz w:val="24"/>
        </w:rPr>
      </w:pPr>
    </w:p>
    <w:p w:rsidR="00E85D42" w:rsidRDefault="008113B9">
      <w:pPr>
        <w:pStyle w:val="af0"/>
        <w:spacing w:after="0"/>
        <w:ind w:left="0" w:firstLine="720"/>
        <w:rPr>
          <w:i/>
          <w:sz w:val="24"/>
        </w:rPr>
      </w:pPr>
      <w:r>
        <w:rPr>
          <w:i/>
          <w:sz w:val="24"/>
        </w:rPr>
        <w:t>Определение состава факторов стоимости земельных участков для каждого вида разрешенного использования земельных участков.</w:t>
      </w:r>
    </w:p>
    <w:p w:rsidR="00E85D42" w:rsidRDefault="008113B9">
      <w:pPr>
        <w:pStyle w:val="af0"/>
        <w:spacing w:after="0"/>
        <w:ind w:left="0" w:firstLine="708"/>
        <w:rPr>
          <w:sz w:val="24"/>
        </w:rPr>
      </w:pPr>
      <w:r>
        <w:rPr>
          <w:sz w:val="24"/>
        </w:rPr>
        <w:t>На основе Примерного пер</w:t>
      </w:r>
      <w:r>
        <w:rPr>
          <w:sz w:val="24"/>
        </w:rPr>
        <w:t>ечня ценообразующих факторов земельных участков (Приложение 3 к Методическим указаниям) были определены факторы, которые в основном влияют на рыночную стоимость объектов оценки и фактор, оказывающий наибольшее влияние. Кроме того, введены дополнительные фа</w:t>
      </w:r>
      <w:r>
        <w:rPr>
          <w:sz w:val="24"/>
        </w:rPr>
        <w:t>кторы, не предусмотренные Методическими указаниями. Описание, а также обоснование использования, либо отказа от использования ценообразующих факторов описаны в п.п. 3.1.7 настоящего Отчета.</w:t>
      </w:r>
    </w:p>
    <w:p w:rsidR="00E85D42" w:rsidRDefault="00E85D42">
      <w:pPr>
        <w:ind w:firstLine="720"/>
        <w:jc w:val="both"/>
        <w:rPr>
          <w:i/>
          <w:sz w:val="24"/>
          <w:szCs w:val="24"/>
        </w:rPr>
      </w:pPr>
    </w:p>
    <w:p w:rsidR="00E85D42" w:rsidRDefault="00E85D42">
      <w:pPr>
        <w:ind w:firstLine="720"/>
        <w:jc w:val="both"/>
        <w:rPr>
          <w:i/>
          <w:sz w:val="24"/>
          <w:szCs w:val="24"/>
        </w:rPr>
      </w:pP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Сбор сведений о значениях факторов стоимости земельных участков</w:t>
      </w:r>
      <w:r>
        <w:rPr>
          <w:i/>
          <w:sz w:val="24"/>
          <w:szCs w:val="24"/>
        </w:rPr>
        <w:t xml:space="preserve"> по каждому виду разрешенного использования.</w:t>
      </w:r>
    </w:p>
    <w:p w:rsidR="00E85D42" w:rsidRDefault="008113B9">
      <w:pPr>
        <w:ind w:firstLine="720"/>
        <w:jc w:val="both"/>
        <w:rPr>
          <w:sz w:val="24"/>
          <w:szCs w:val="24"/>
        </w:rPr>
      </w:pPr>
      <w:r>
        <w:rPr>
          <w:sz w:val="24"/>
          <w:szCs w:val="24"/>
        </w:rPr>
        <w:t xml:space="preserve">Источниками информации о значениях факторов стоимости являются администрации муниципальных образований. </w:t>
      </w:r>
    </w:p>
    <w:p w:rsidR="00E85D42" w:rsidRDefault="008113B9">
      <w:pPr>
        <w:ind w:firstLine="720"/>
        <w:jc w:val="both"/>
      </w:pPr>
      <w:r>
        <w:rPr>
          <w:sz w:val="24"/>
          <w:szCs w:val="24"/>
        </w:rPr>
        <w:t xml:space="preserve">Ответы на запросы о значении факторов стоимости получены в виде картографического и семантического </w:t>
      </w:r>
      <w:r>
        <w:rPr>
          <w:sz w:val="24"/>
          <w:szCs w:val="24"/>
        </w:rPr>
        <w:t>материала, выполненного на бумажной основе. В соответствии с данными, отраженными на картографическом материале источником информации, в целях определения значений факторов стоимости земельных участков, Исполнителем работ в формате MapInfo сформированы циф</w:t>
      </w:r>
      <w:r>
        <w:rPr>
          <w:sz w:val="24"/>
          <w:szCs w:val="24"/>
        </w:rPr>
        <w:t>ровые тематические карты, содержащие информацию об объектах, характеризующих территорию в разрезе факторов стоимости</w:t>
      </w:r>
      <w:r>
        <w:rPr>
          <w:color w:val="FF0000"/>
          <w:sz w:val="24"/>
          <w:szCs w:val="24"/>
        </w:rPr>
        <w:t>.</w:t>
      </w:r>
    </w:p>
    <w:p w:rsidR="00E85D42" w:rsidRDefault="008113B9">
      <w:pPr>
        <w:pStyle w:val="af0"/>
        <w:spacing w:after="0"/>
        <w:ind w:left="0"/>
      </w:pPr>
      <w:r>
        <w:t>Информация о факторах «Численность населения в населенных пунктах», «Численность населения в муниципальном районе, городском округе», «Сре</w:t>
      </w:r>
      <w:r>
        <w:t>днемесячная заработная плата» собрана самостоятельно, на основании сведений органа Федеральной службы государственной статистики по Республике Башкортостан.</w:t>
      </w:r>
    </w:p>
    <w:p w:rsidR="00E85D42" w:rsidRDefault="00E85D42">
      <w:pPr>
        <w:pStyle w:val="af0"/>
        <w:spacing w:after="0"/>
        <w:ind w:left="0"/>
      </w:pPr>
    </w:p>
    <w:p w:rsidR="00E85D42" w:rsidRDefault="00E85D42">
      <w:pPr>
        <w:pStyle w:val="af0"/>
        <w:spacing w:after="0"/>
        <w:ind w:left="0"/>
      </w:pPr>
    </w:p>
    <w:p w:rsidR="00E85D42" w:rsidRDefault="00E85D42">
      <w:pPr>
        <w:pStyle w:val="af0"/>
        <w:spacing w:after="0"/>
        <w:ind w:left="0"/>
      </w:pPr>
    </w:p>
    <w:p w:rsidR="00E85D42" w:rsidRDefault="008113B9">
      <w:pPr>
        <w:ind w:firstLine="720"/>
        <w:jc w:val="both"/>
        <w:rPr>
          <w:i/>
          <w:sz w:val="24"/>
          <w:szCs w:val="24"/>
        </w:rPr>
      </w:pPr>
      <w:r>
        <w:rPr>
          <w:i/>
          <w:sz w:val="24"/>
          <w:szCs w:val="24"/>
        </w:rPr>
        <w:t>Создание слоев цифровых тематических карт населенных пунктов.</w:t>
      </w:r>
    </w:p>
    <w:p w:rsidR="00E85D42" w:rsidRDefault="008113B9">
      <w:pPr>
        <w:ind w:firstLine="720"/>
        <w:jc w:val="both"/>
        <w:rPr>
          <w:sz w:val="24"/>
          <w:szCs w:val="24"/>
        </w:rPr>
      </w:pPr>
      <w:r>
        <w:rPr>
          <w:sz w:val="24"/>
          <w:szCs w:val="24"/>
        </w:rPr>
        <w:t>Цифровые тематические карты населе</w:t>
      </w:r>
      <w:r>
        <w:rPr>
          <w:sz w:val="24"/>
          <w:szCs w:val="24"/>
        </w:rPr>
        <w:t>нных пунктов формируются в целях определения значений факторов стоимости земельных участков и отображения результатов государственной кадастровой оценки земель населенных пунктов.</w:t>
      </w:r>
    </w:p>
    <w:p w:rsidR="00E85D42" w:rsidRDefault="00E85D42">
      <w:pPr>
        <w:ind w:firstLine="720"/>
        <w:jc w:val="both"/>
        <w:rPr>
          <w:sz w:val="24"/>
          <w:szCs w:val="24"/>
        </w:rPr>
      </w:pPr>
    </w:p>
    <w:p w:rsidR="00E85D42" w:rsidRDefault="008113B9">
      <w:pPr>
        <w:ind w:firstLine="720"/>
        <w:jc w:val="both"/>
        <w:rPr>
          <w:i/>
          <w:sz w:val="24"/>
          <w:szCs w:val="24"/>
        </w:rPr>
      </w:pPr>
      <w:r>
        <w:rPr>
          <w:i/>
          <w:sz w:val="24"/>
          <w:szCs w:val="24"/>
        </w:rPr>
        <w:t>Группировка земельных участков в составе земель населенных пунктов.</w:t>
      </w:r>
    </w:p>
    <w:p w:rsidR="00E85D42" w:rsidRDefault="008113B9">
      <w:pPr>
        <w:pStyle w:val="af0"/>
        <w:spacing w:after="0"/>
        <w:ind w:left="0" w:firstLine="720"/>
        <w:rPr>
          <w:sz w:val="24"/>
        </w:rPr>
      </w:pPr>
      <w:r>
        <w:rPr>
          <w:sz w:val="24"/>
        </w:rPr>
        <w:t>В целях</w:t>
      </w:r>
      <w:r>
        <w:rPr>
          <w:sz w:val="24"/>
        </w:rPr>
        <w:t xml:space="preserve"> расчета кадастровой стоимости земельных участков объекты оценки выделены в расчетные группы.</w:t>
      </w:r>
    </w:p>
    <w:p w:rsidR="00E85D42" w:rsidRDefault="008113B9">
      <w:pPr>
        <w:pStyle w:val="af0"/>
        <w:spacing w:after="0"/>
        <w:ind w:left="0" w:firstLine="720"/>
        <w:rPr>
          <w:sz w:val="24"/>
        </w:rPr>
      </w:pPr>
      <w:r>
        <w:rPr>
          <w:sz w:val="24"/>
        </w:rPr>
        <w:t>Группировка земельных участков в городских населенных пунктах проведена по фактору – «Графическая привязка». Использование данного фактора позволило провести груп</w:t>
      </w:r>
      <w:r>
        <w:rPr>
          <w:sz w:val="24"/>
        </w:rPr>
        <w:t>пировку таким образом, чтобы в одной группе находились объекты оценки, которые возможно рассчитать на основании известных значений ценообразующих факторов. Объекты, привязка которых к цифровой тематической карте невозможна или объекты расположены за границ</w:t>
      </w:r>
      <w:r>
        <w:rPr>
          <w:sz w:val="24"/>
        </w:rPr>
        <w:t xml:space="preserve">ей населенного пункта, и, следовательно, невозможен расчет значений ценообразующих факторов, выделены в отдельную группу (Минимальный УПКС или Средний УПКС. Для данных объектов расчет проводится методом УПКС, исходя из рассчитанных средних или минимальных </w:t>
      </w:r>
      <w:r>
        <w:rPr>
          <w:sz w:val="24"/>
        </w:rPr>
        <w:t>значений УПКС для квартала или муниципального образования.</w:t>
      </w:r>
    </w:p>
    <w:p w:rsidR="00E85D42" w:rsidRDefault="008113B9">
      <w:pPr>
        <w:pStyle w:val="af0"/>
        <w:spacing w:after="0"/>
        <w:ind w:left="0" w:firstLine="720"/>
        <w:rPr>
          <w:sz w:val="24"/>
        </w:rPr>
      </w:pPr>
      <w:r>
        <w:rPr>
          <w:sz w:val="24"/>
        </w:rPr>
        <w:t xml:space="preserve">После выделения объектов с рассчитанными значениями ценообразующих факторов группировка земельных участков в городских населенных пунктах проведена по фактору – «Численность в населенных пунктах». </w:t>
      </w:r>
      <w:r>
        <w:rPr>
          <w:sz w:val="24"/>
        </w:rPr>
        <w:t>Использование данного фактора позволило провести группировку таким образом, чтобы в одной группе находились объекты оценки, которые сопоставимы по основным ценнообразующим факторам.</w:t>
      </w:r>
    </w:p>
    <w:p w:rsidR="00E85D42" w:rsidRDefault="008113B9">
      <w:pPr>
        <w:pStyle w:val="af0"/>
        <w:spacing w:after="0"/>
        <w:ind w:left="0" w:firstLine="720"/>
        <w:rPr>
          <w:sz w:val="24"/>
        </w:rPr>
      </w:pPr>
      <w:r>
        <w:rPr>
          <w:sz w:val="24"/>
        </w:rPr>
        <w:t xml:space="preserve">Группировка земельных участков в сельских населенных пунктах проведена по </w:t>
      </w:r>
      <w:r>
        <w:rPr>
          <w:sz w:val="24"/>
        </w:rPr>
        <w:t>фактору – «Статус НП». Использование данного фактора позволило провести группировку таким образом, чтобы в одной группе находились объекты оценки, которые сопоставимы по основным ценнообразующим факторам.</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Сбор достаточной и достоверной рыночной информации</w:t>
      </w:r>
      <w:r>
        <w:rPr>
          <w:i/>
          <w:sz w:val="24"/>
          <w:szCs w:val="24"/>
        </w:rPr>
        <w:t xml:space="preserve"> о земельных участках для каждой сформированной группы.</w:t>
      </w:r>
    </w:p>
    <w:p w:rsidR="00E85D42" w:rsidRDefault="008113B9">
      <w:pPr>
        <w:ind w:firstLine="720"/>
        <w:jc w:val="both"/>
        <w:rPr>
          <w:sz w:val="24"/>
          <w:szCs w:val="24"/>
        </w:rPr>
      </w:pPr>
      <w:r>
        <w:rPr>
          <w:sz w:val="24"/>
          <w:szCs w:val="24"/>
        </w:rPr>
        <w:t>Сбор рыночной информации включает в себя следующие этапы:</w:t>
      </w:r>
    </w:p>
    <w:p w:rsidR="00E85D42" w:rsidRDefault="008113B9">
      <w:pPr>
        <w:ind w:firstLine="720"/>
        <w:jc w:val="both"/>
        <w:rPr>
          <w:sz w:val="24"/>
          <w:szCs w:val="24"/>
        </w:rPr>
      </w:pPr>
      <w:r>
        <w:rPr>
          <w:sz w:val="24"/>
          <w:szCs w:val="24"/>
        </w:rPr>
        <w:t>– определение и выбор источников рыночной информации и проверка их достоверности;</w:t>
      </w:r>
    </w:p>
    <w:p w:rsidR="00E85D42" w:rsidRDefault="008113B9">
      <w:pPr>
        <w:ind w:firstLine="720"/>
        <w:jc w:val="both"/>
        <w:rPr>
          <w:sz w:val="24"/>
          <w:szCs w:val="24"/>
        </w:rPr>
      </w:pPr>
      <w:r>
        <w:rPr>
          <w:sz w:val="24"/>
          <w:szCs w:val="24"/>
        </w:rPr>
        <w:t>– статистический анализ рыночных данных.</w:t>
      </w:r>
    </w:p>
    <w:p w:rsidR="00E85D42" w:rsidRDefault="008113B9">
      <w:pPr>
        <w:ind w:firstLine="720"/>
        <w:jc w:val="both"/>
        <w:rPr>
          <w:sz w:val="24"/>
          <w:szCs w:val="24"/>
        </w:rPr>
      </w:pPr>
      <w:r>
        <w:rPr>
          <w:sz w:val="24"/>
          <w:szCs w:val="24"/>
        </w:rPr>
        <w:t xml:space="preserve">При сборе, анализе </w:t>
      </w:r>
      <w:r>
        <w:rPr>
          <w:sz w:val="24"/>
          <w:szCs w:val="24"/>
        </w:rPr>
        <w:t>рыночной информации о земельных участках и использовании ее в процессе моделирования выявляются выбросы.</w:t>
      </w:r>
    </w:p>
    <w:p w:rsidR="00E85D42" w:rsidRDefault="008113B9">
      <w:pPr>
        <w:ind w:firstLine="720"/>
        <w:jc w:val="both"/>
        <w:rPr>
          <w:sz w:val="24"/>
          <w:szCs w:val="24"/>
        </w:rPr>
      </w:pPr>
      <w:r>
        <w:rPr>
          <w:sz w:val="24"/>
          <w:szCs w:val="24"/>
        </w:rPr>
        <w:t>Появление выбросов обусловлено следующим:</w:t>
      </w:r>
    </w:p>
    <w:p w:rsidR="00E85D42" w:rsidRDefault="008113B9">
      <w:pPr>
        <w:ind w:firstLine="720"/>
        <w:jc w:val="both"/>
        <w:rPr>
          <w:sz w:val="24"/>
          <w:szCs w:val="24"/>
        </w:rPr>
      </w:pPr>
      <w:r>
        <w:rPr>
          <w:sz w:val="24"/>
          <w:szCs w:val="24"/>
        </w:rPr>
        <w:t>- недостоверные сведения об объектах-аналогах в источниках.</w:t>
      </w:r>
    </w:p>
    <w:p w:rsidR="00E85D42" w:rsidRDefault="008113B9">
      <w:pPr>
        <w:ind w:firstLine="720"/>
        <w:jc w:val="both"/>
        <w:rPr>
          <w:sz w:val="24"/>
          <w:szCs w:val="24"/>
        </w:rPr>
      </w:pPr>
      <w:r>
        <w:rPr>
          <w:sz w:val="24"/>
          <w:szCs w:val="24"/>
        </w:rPr>
        <w:t>- при выделении доли земельного участка их единог</w:t>
      </w:r>
      <w:r>
        <w:rPr>
          <w:sz w:val="24"/>
          <w:szCs w:val="24"/>
        </w:rPr>
        <w:t xml:space="preserve">о объекта недвижимости не учитываются индивидуальные особенности каждого из объектов. </w:t>
      </w:r>
    </w:p>
    <w:p w:rsidR="00E85D42" w:rsidRDefault="008113B9">
      <w:pPr>
        <w:ind w:firstLine="720"/>
        <w:jc w:val="both"/>
        <w:rPr>
          <w:sz w:val="24"/>
          <w:szCs w:val="24"/>
        </w:rPr>
      </w:pPr>
      <w:r>
        <w:rPr>
          <w:sz w:val="24"/>
          <w:szCs w:val="24"/>
        </w:rPr>
        <w:t>Эти факторы приводят к снижению точности рыночной информации и расширению диапазона значений стоимости объектов-аналогов (присутствуют дешевые и дорогие).</w:t>
      </w:r>
    </w:p>
    <w:p w:rsidR="00E85D42" w:rsidRDefault="008113B9">
      <w:pPr>
        <w:ind w:firstLine="720"/>
        <w:jc w:val="both"/>
        <w:rPr>
          <w:sz w:val="24"/>
          <w:szCs w:val="24"/>
        </w:rPr>
      </w:pPr>
      <w:r>
        <w:rPr>
          <w:sz w:val="24"/>
          <w:szCs w:val="24"/>
        </w:rPr>
        <w:t>При построении</w:t>
      </w:r>
      <w:r>
        <w:rPr>
          <w:sz w:val="24"/>
          <w:szCs w:val="24"/>
        </w:rPr>
        <w:t xml:space="preserve">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это равномерное распределение объектов-анало</w:t>
      </w:r>
      <w:r>
        <w:rPr>
          <w:sz w:val="24"/>
          <w:szCs w:val="24"/>
        </w:rPr>
        <w:t>гов в ценовом диапазоне. При наличии противоречивой информации объекты-аналоги определяются как выбросы. Во время построения моделей также могут выявляться объекты-аналоги с недостоверной исходной информацией, которые определяются как выбросы.</w:t>
      </w:r>
    </w:p>
    <w:p w:rsidR="00E85D42" w:rsidRDefault="008113B9">
      <w:pPr>
        <w:spacing w:after="120" w:line="276" w:lineRule="auto"/>
        <w:ind w:firstLine="709"/>
        <w:jc w:val="both"/>
        <w:rPr>
          <w:sz w:val="24"/>
          <w:szCs w:val="24"/>
        </w:rPr>
      </w:pPr>
      <w:r>
        <w:rPr>
          <w:sz w:val="24"/>
          <w:szCs w:val="24"/>
        </w:rPr>
        <w:t>Описание кор</w:t>
      </w:r>
      <w:r>
        <w:rPr>
          <w:sz w:val="24"/>
          <w:szCs w:val="24"/>
        </w:rPr>
        <w:t>ректировок, внесенных в стоимость объектов-аналогов, приведен в Разделе 3.2. Описание и обоснование подходов к выбору типового объекта недвижимости в целях проведения оценочного зонирования.</w:t>
      </w:r>
    </w:p>
    <w:p w:rsidR="00E85D42" w:rsidRDefault="008113B9">
      <w:pPr>
        <w:ind w:firstLine="720"/>
        <w:jc w:val="both"/>
        <w:rPr>
          <w:i/>
          <w:sz w:val="24"/>
          <w:szCs w:val="24"/>
        </w:rPr>
      </w:pPr>
      <w:r>
        <w:rPr>
          <w:i/>
          <w:sz w:val="24"/>
          <w:szCs w:val="24"/>
        </w:rPr>
        <w:t>Построение статистических моделей расчета кадастровой стоимости д</w:t>
      </w:r>
      <w:r>
        <w:rPr>
          <w:i/>
          <w:sz w:val="24"/>
          <w:szCs w:val="24"/>
        </w:rPr>
        <w:t>ля каждой группы земельных участков.</w:t>
      </w:r>
    </w:p>
    <w:p w:rsidR="00E85D42" w:rsidRDefault="008113B9">
      <w:pPr>
        <w:ind w:firstLine="720"/>
        <w:jc w:val="both"/>
        <w:rPr>
          <w:sz w:val="24"/>
          <w:szCs w:val="24"/>
        </w:rPr>
      </w:pPr>
      <w:r>
        <w:rPr>
          <w:sz w:val="24"/>
          <w:szCs w:val="24"/>
        </w:rPr>
        <w:t>Построение статистических моделей расчета кадастровой стоимости земельных участков осуществляется в следующей последовательности:</w:t>
      </w:r>
    </w:p>
    <w:p w:rsidR="00E85D42" w:rsidRDefault="008113B9">
      <w:pPr>
        <w:ind w:firstLine="720"/>
        <w:jc w:val="both"/>
        <w:rPr>
          <w:sz w:val="24"/>
          <w:szCs w:val="24"/>
        </w:rPr>
      </w:pPr>
      <w:r>
        <w:rPr>
          <w:sz w:val="24"/>
          <w:szCs w:val="24"/>
        </w:rPr>
        <w:t>– выбор факторов стоимости для построения моделей;</w:t>
      </w:r>
    </w:p>
    <w:p w:rsidR="00E85D42" w:rsidRDefault="008113B9">
      <w:pPr>
        <w:ind w:firstLine="720"/>
        <w:jc w:val="both"/>
        <w:rPr>
          <w:sz w:val="24"/>
          <w:szCs w:val="24"/>
        </w:rPr>
      </w:pPr>
      <w:r>
        <w:rPr>
          <w:sz w:val="24"/>
          <w:szCs w:val="24"/>
        </w:rPr>
        <w:t>– построение моделей расчета кадастров</w:t>
      </w:r>
      <w:r>
        <w:rPr>
          <w:sz w:val="24"/>
          <w:szCs w:val="24"/>
        </w:rPr>
        <w:t>ой стоимости земельных участков каждой сформированной группы;</w:t>
      </w:r>
    </w:p>
    <w:p w:rsidR="00E85D42" w:rsidRDefault="008113B9">
      <w:pPr>
        <w:ind w:firstLine="720"/>
        <w:jc w:val="both"/>
        <w:rPr>
          <w:sz w:val="24"/>
          <w:szCs w:val="24"/>
        </w:rPr>
      </w:pPr>
      <w:r>
        <w:rPr>
          <w:sz w:val="24"/>
          <w:szCs w:val="24"/>
        </w:rPr>
        <w:t>– анализ качества статистических моделей расчета кадастровой стоимости земельных участков в составе земель населенных пунктов.</w:t>
      </w:r>
    </w:p>
    <w:p w:rsidR="00E85D42" w:rsidRDefault="00E85D42">
      <w:pPr>
        <w:ind w:firstLine="720"/>
        <w:jc w:val="both"/>
        <w:rPr>
          <w:i/>
          <w:sz w:val="24"/>
          <w:szCs w:val="24"/>
        </w:rPr>
      </w:pPr>
    </w:p>
    <w:p w:rsidR="00E85D42" w:rsidRDefault="008113B9">
      <w:pPr>
        <w:ind w:firstLine="720"/>
        <w:jc w:val="both"/>
        <w:rPr>
          <w:i/>
          <w:sz w:val="24"/>
          <w:szCs w:val="24"/>
        </w:rPr>
      </w:pPr>
      <w:r>
        <w:rPr>
          <w:i/>
          <w:sz w:val="24"/>
          <w:szCs w:val="24"/>
        </w:rPr>
        <w:t>Выбор факторов стоимости для построения моделей.</w:t>
      </w:r>
    </w:p>
    <w:p w:rsidR="00E85D42" w:rsidRDefault="008113B9">
      <w:pPr>
        <w:ind w:firstLine="709"/>
        <w:jc w:val="both"/>
        <w:rPr>
          <w:sz w:val="24"/>
          <w:szCs w:val="24"/>
        </w:rPr>
      </w:pPr>
      <w:r>
        <w:rPr>
          <w:sz w:val="24"/>
          <w:szCs w:val="24"/>
        </w:rPr>
        <w:t xml:space="preserve">На основании </w:t>
      </w:r>
      <w:r>
        <w:rPr>
          <w:sz w:val="24"/>
          <w:szCs w:val="24"/>
        </w:rPr>
        <w:t>анализа рынка земельных участков, приведенного в разделе 2.4 настоящего Отчеты из состава факторов стоимости отбирался набор факторов, в наибольшей степени оказывающих влияние на стоимость земельных участков.</w:t>
      </w:r>
    </w:p>
    <w:p w:rsidR="00E85D42" w:rsidRDefault="008113B9">
      <w:pPr>
        <w:ind w:firstLine="709"/>
        <w:jc w:val="both"/>
        <w:rPr>
          <w:sz w:val="24"/>
          <w:szCs w:val="24"/>
        </w:rPr>
      </w:pPr>
      <w:r>
        <w:rPr>
          <w:sz w:val="24"/>
          <w:szCs w:val="24"/>
        </w:rPr>
        <w:t>Выбор факторов осуществлялся с использованием с</w:t>
      </w:r>
      <w:r>
        <w:rPr>
          <w:sz w:val="24"/>
          <w:szCs w:val="24"/>
        </w:rPr>
        <w:t>ледующих методов (критериев):</w:t>
      </w:r>
    </w:p>
    <w:p w:rsidR="00E85D42" w:rsidRDefault="008113B9">
      <w:pPr>
        <w:tabs>
          <w:tab w:val="right" w:pos="900"/>
        </w:tabs>
        <w:ind w:firstLine="709"/>
        <w:jc w:val="both"/>
      </w:pPr>
      <w:r>
        <w:rPr>
          <w:sz w:val="24"/>
          <w:szCs w:val="24"/>
        </w:rPr>
        <w:t>1.</w:t>
      </w:r>
      <w:r>
        <w:rPr>
          <w:sz w:val="24"/>
          <w:szCs w:val="24"/>
        </w:rPr>
        <w:tab/>
      </w:r>
      <w:r>
        <w:rPr>
          <w:i/>
          <w:sz w:val="24"/>
          <w:szCs w:val="24"/>
        </w:rPr>
        <w:t>Критерий репрезентативности</w:t>
      </w:r>
      <w:r>
        <w:rPr>
          <w:b/>
          <w:sz w:val="24"/>
          <w:szCs w:val="24"/>
        </w:rPr>
        <w:t>.</w:t>
      </w:r>
      <w:r>
        <w:rPr>
          <w:sz w:val="24"/>
          <w:szCs w:val="24"/>
        </w:rPr>
        <w:t xml:space="preserve"> Проверка репрезентативности факторов стоимости осу</w:t>
      </w:r>
      <w:r>
        <w:rPr>
          <w:sz w:val="24"/>
          <w:szCs w:val="24"/>
        </w:rPr>
        <w:softHyphen/>
        <w:t>ществлялась с применением СПО. Фактор кластеризации признается репрезентативным, если со</w:t>
      </w:r>
      <w:r>
        <w:rPr>
          <w:sz w:val="24"/>
          <w:szCs w:val="24"/>
        </w:rPr>
        <w:softHyphen/>
        <w:t>блюдается выполнение следующих условий:</w:t>
      </w:r>
    </w:p>
    <w:p w:rsidR="00E85D42" w:rsidRDefault="008113B9">
      <w:pPr>
        <w:numPr>
          <w:ilvl w:val="0"/>
          <w:numId w:val="32"/>
        </w:numPr>
        <w:tabs>
          <w:tab w:val="left" w:pos="900"/>
          <w:tab w:val="left" w:pos="1012"/>
        </w:tabs>
        <w:ind w:left="0" w:firstLine="709"/>
        <w:jc w:val="both"/>
        <w:rPr>
          <w:sz w:val="24"/>
          <w:szCs w:val="24"/>
        </w:rPr>
      </w:pPr>
      <w:r>
        <w:rPr>
          <w:sz w:val="24"/>
          <w:szCs w:val="24"/>
        </w:rPr>
        <w:t>для количестве</w:t>
      </w:r>
      <w:r>
        <w:rPr>
          <w:sz w:val="24"/>
          <w:szCs w:val="24"/>
        </w:rPr>
        <w:t>нных факторов: диапазон значений фактора в выборке рыночных объек</w:t>
      </w:r>
      <w:r>
        <w:rPr>
          <w:sz w:val="24"/>
          <w:szCs w:val="24"/>
        </w:rPr>
        <w:softHyphen/>
        <w:t>тов должен совпадать с диапазоном значений фактора исходной выборки объектов оценки. При этом структура наличия значений фактора на данном интервале не должна сильно отличаться у объектов оц</w:t>
      </w:r>
      <w:r>
        <w:rPr>
          <w:sz w:val="24"/>
          <w:szCs w:val="24"/>
        </w:rPr>
        <w:t>енки и рыноч</w:t>
      </w:r>
      <w:r>
        <w:rPr>
          <w:sz w:val="24"/>
          <w:szCs w:val="24"/>
        </w:rPr>
        <w:softHyphen/>
        <w:t>ной выборки;</w:t>
      </w:r>
    </w:p>
    <w:p w:rsidR="00E85D42" w:rsidRDefault="008113B9">
      <w:pPr>
        <w:numPr>
          <w:ilvl w:val="0"/>
          <w:numId w:val="32"/>
        </w:numPr>
        <w:tabs>
          <w:tab w:val="left" w:pos="900"/>
          <w:tab w:val="left" w:pos="1012"/>
        </w:tabs>
        <w:ind w:left="0" w:firstLine="709"/>
        <w:jc w:val="both"/>
        <w:rPr>
          <w:sz w:val="24"/>
          <w:szCs w:val="24"/>
        </w:rPr>
      </w:pPr>
      <w:r>
        <w:rPr>
          <w:sz w:val="24"/>
          <w:szCs w:val="24"/>
        </w:rPr>
        <w:t>для качественных факторов: каждое значение качественного фактора, присутствующее в исходной выборке объектов оценки, должно присутствовать хотя бы один раз в выборке рыноч</w:t>
      </w:r>
      <w:r>
        <w:rPr>
          <w:sz w:val="24"/>
          <w:szCs w:val="24"/>
        </w:rPr>
        <w:softHyphen/>
        <w:t>ных объектов, при этом для улучшения качества в выборке ры</w:t>
      </w:r>
      <w:r>
        <w:rPr>
          <w:sz w:val="24"/>
          <w:szCs w:val="24"/>
        </w:rPr>
        <w:t>ночных объектов желательно при</w:t>
      </w:r>
      <w:r>
        <w:rPr>
          <w:sz w:val="24"/>
          <w:szCs w:val="24"/>
        </w:rPr>
        <w:softHyphen/>
        <w:t>сутствие каждого значения качественного фактора не менее шести раз.</w:t>
      </w:r>
    </w:p>
    <w:p w:rsidR="00E85D42" w:rsidRDefault="008113B9">
      <w:pPr>
        <w:ind w:firstLine="709"/>
        <w:jc w:val="both"/>
      </w:pPr>
      <w:r>
        <w:rPr>
          <w:sz w:val="24"/>
          <w:szCs w:val="24"/>
        </w:rPr>
        <w:t xml:space="preserve">2. </w:t>
      </w:r>
      <w:r>
        <w:rPr>
          <w:i/>
          <w:sz w:val="24"/>
          <w:szCs w:val="24"/>
        </w:rPr>
        <w:t>Корреляционный анализ</w:t>
      </w:r>
      <w:r>
        <w:rPr>
          <w:sz w:val="24"/>
          <w:szCs w:val="24"/>
        </w:rPr>
        <w:t xml:space="preserve"> предполагает выбор в качестве факторов для построения моде</w:t>
      </w:r>
      <w:r>
        <w:rPr>
          <w:sz w:val="24"/>
          <w:szCs w:val="24"/>
        </w:rPr>
        <w:softHyphen/>
        <w:t>лей тех факторов стоимости, которые в основном формируют стоимость земель</w:t>
      </w:r>
      <w:r>
        <w:rPr>
          <w:sz w:val="24"/>
          <w:szCs w:val="24"/>
        </w:rPr>
        <w:t>ных участков. С этой целью производился:</w:t>
      </w:r>
    </w:p>
    <w:p w:rsidR="00E85D42" w:rsidRDefault="008113B9">
      <w:pPr>
        <w:numPr>
          <w:ilvl w:val="0"/>
          <w:numId w:val="33"/>
        </w:numPr>
        <w:tabs>
          <w:tab w:val="left" w:pos="1080"/>
        </w:tabs>
        <w:ind w:left="0" w:firstLine="709"/>
        <w:jc w:val="both"/>
        <w:rPr>
          <w:sz w:val="24"/>
          <w:szCs w:val="24"/>
        </w:rPr>
      </w:pPr>
      <w:r>
        <w:rPr>
          <w:sz w:val="24"/>
          <w:szCs w:val="24"/>
        </w:rPr>
        <w:t>расчет коэффициентов корреляции факторов стоимости с рыночными стоимостями по формуле (1):</w:t>
      </w:r>
    </w:p>
    <w:p w:rsidR="00E85D42" w:rsidRDefault="008113B9">
      <w:pPr>
        <w:tabs>
          <w:tab w:val="right" w:pos="9360"/>
        </w:tabs>
        <w:ind w:firstLine="709"/>
        <w:jc w:val="both"/>
      </w:pPr>
      <w:r>
        <w:rPr>
          <w:sz w:val="24"/>
          <w:szCs w:val="24"/>
        </w:rPr>
        <w:object w:dxaOrig="5475" w:dyaOrig="1350">
          <v:shape id="Object 6" o:spid="_x0000_i1029" type="#_x0000_t75" style="width:273.75pt;height:67.5pt;visibility:visible;mso-wrap-style:square" o:ole="">
            <v:imagedata r:id="rId344" o:title=""/>
          </v:shape>
          <o:OLEObject Type="Embed" ProgID="Equation.3" ShapeID="Object 6" DrawAspect="Content" ObjectID="_1625914968" r:id="rId358"/>
        </w:object>
      </w:r>
      <w:r>
        <w:rPr>
          <w:sz w:val="24"/>
          <w:szCs w:val="24"/>
        </w:rPr>
        <w:t>,</w:t>
      </w:r>
      <w:r>
        <w:rPr>
          <w:sz w:val="24"/>
          <w:szCs w:val="24"/>
        </w:rPr>
        <w:tab/>
      </w:r>
    </w:p>
    <w:p w:rsidR="00E85D42" w:rsidRDefault="008113B9">
      <w:pPr>
        <w:ind w:firstLine="709"/>
        <w:jc w:val="both"/>
      </w:pPr>
      <w:r>
        <w:rPr>
          <w:sz w:val="24"/>
          <w:szCs w:val="24"/>
        </w:rPr>
        <w:t>где: r</w:t>
      </w:r>
      <w:r>
        <w:rPr>
          <w:sz w:val="24"/>
          <w:szCs w:val="24"/>
          <w:vertAlign w:val="subscript"/>
        </w:rPr>
        <w:t>kY</w:t>
      </w:r>
      <w:r>
        <w:rPr>
          <w:sz w:val="24"/>
          <w:szCs w:val="24"/>
        </w:rPr>
        <w:t xml:space="preserve"> – коэффициент корреляции k-го фактора X(k) с рыночной стоимостью Y земельно</w:t>
      </w:r>
      <w:r>
        <w:rPr>
          <w:sz w:val="24"/>
          <w:szCs w:val="24"/>
        </w:rPr>
        <w:softHyphen/>
        <w:t>го участка, N – количество объектов в обучающей выборке;</w:t>
      </w:r>
    </w:p>
    <w:p w:rsidR="00E85D42" w:rsidRDefault="008113B9">
      <w:pPr>
        <w:numPr>
          <w:ilvl w:val="0"/>
          <w:numId w:val="33"/>
        </w:numPr>
        <w:tabs>
          <w:tab w:val="left" w:pos="1080"/>
        </w:tabs>
        <w:ind w:left="0" w:firstLine="709"/>
        <w:jc w:val="both"/>
      </w:pPr>
      <w:r>
        <w:rPr>
          <w:sz w:val="24"/>
          <w:szCs w:val="24"/>
        </w:rPr>
        <w:t>расчет коэффициентов значимости R</w:t>
      </w:r>
      <w:r>
        <w:rPr>
          <w:sz w:val="24"/>
          <w:szCs w:val="24"/>
          <w:vertAlign w:val="subscript"/>
        </w:rPr>
        <w:t>k</w:t>
      </w:r>
      <w:r>
        <w:rPr>
          <w:sz w:val="24"/>
          <w:szCs w:val="24"/>
        </w:rPr>
        <w:t xml:space="preserve"> фактора X(k) по формуле:</w:t>
      </w:r>
    </w:p>
    <w:p w:rsidR="00E85D42" w:rsidRDefault="008113B9">
      <w:pPr>
        <w:tabs>
          <w:tab w:val="right" w:pos="9360"/>
        </w:tabs>
        <w:ind w:firstLine="709"/>
        <w:jc w:val="both"/>
      </w:pPr>
      <w:r>
        <w:rPr>
          <w:i/>
          <w:sz w:val="24"/>
          <w:szCs w:val="24"/>
        </w:rPr>
        <w:object w:dxaOrig="992" w:dyaOrig="693">
          <v:shape id="Object 7" o:spid="_x0000_i1030" type="#_x0000_t75" style="width:49.5pt;height:34.5pt;visibility:visible;mso-wrap-style:square" o:ole="">
            <v:imagedata r:id="rId346" o:title=""/>
          </v:shape>
          <o:OLEObject Type="Embed" ProgID="Equation.3" ShapeID="Object 7" DrawAspect="Content" ObjectID="_1625914969" r:id="rId359"/>
        </w:object>
      </w:r>
      <w:r>
        <w:rPr>
          <w:i/>
          <w:sz w:val="24"/>
          <w:szCs w:val="24"/>
        </w:rPr>
        <w:t xml:space="preserve">, </w:t>
      </w:r>
      <w:r>
        <w:rPr>
          <w:sz w:val="24"/>
          <w:szCs w:val="24"/>
        </w:rPr>
        <w:t>k=1,…,m,</w:t>
      </w:r>
      <w:r>
        <w:rPr>
          <w:b/>
          <w:sz w:val="24"/>
          <w:szCs w:val="24"/>
        </w:rPr>
        <w:tab/>
      </w:r>
    </w:p>
    <w:p w:rsidR="00E85D42" w:rsidRDefault="008113B9">
      <w:pPr>
        <w:ind w:firstLine="709"/>
        <w:jc w:val="both"/>
      </w:pPr>
      <w:r>
        <w:rPr>
          <w:sz w:val="24"/>
          <w:szCs w:val="24"/>
        </w:rPr>
        <w:t>где: r</w:t>
      </w:r>
      <w:r>
        <w:rPr>
          <w:sz w:val="24"/>
          <w:szCs w:val="24"/>
          <w:vertAlign w:val="subscript"/>
        </w:rPr>
        <w:t>max</w:t>
      </w:r>
      <w:r>
        <w:rPr>
          <w:sz w:val="24"/>
          <w:szCs w:val="24"/>
        </w:rPr>
        <w:t>– максимальный из найденных коэффициентов корреляции, а m – количество фак</w:t>
      </w:r>
      <w:r>
        <w:rPr>
          <w:sz w:val="24"/>
          <w:szCs w:val="24"/>
        </w:rPr>
        <w:softHyphen/>
        <w:t>торов стоимости.</w:t>
      </w:r>
    </w:p>
    <w:p w:rsidR="00E85D42" w:rsidRDefault="008113B9">
      <w:pPr>
        <w:numPr>
          <w:ilvl w:val="0"/>
          <w:numId w:val="33"/>
        </w:numPr>
        <w:tabs>
          <w:tab w:val="left" w:pos="1080"/>
        </w:tabs>
        <w:ind w:left="0" w:firstLine="709"/>
        <w:jc w:val="both"/>
        <w:rPr>
          <w:sz w:val="24"/>
          <w:szCs w:val="24"/>
        </w:rPr>
      </w:pPr>
      <w:r>
        <w:rPr>
          <w:sz w:val="24"/>
          <w:szCs w:val="24"/>
        </w:rPr>
        <w:t>выб</w:t>
      </w:r>
      <w:r>
        <w:rPr>
          <w:sz w:val="24"/>
          <w:szCs w:val="24"/>
        </w:rPr>
        <w:t>ор из всех коэффициентов значимости тех коэффициентов, значения которых не менее 0.2 – 0.3. Соответствующие этим коэффициентам значимости факторы стоимости являются теми факторами, которые в основном формируют стоимость земельных участков группы.</w:t>
      </w:r>
    </w:p>
    <w:p w:rsidR="00E85D42" w:rsidRDefault="008113B9">
      <w:pPr>
        <w:ind w:firstLine="709"/>
        <w:jc w:val="both"/>
      </w:pPr>
      <w:r>
        <w:rPr>
          <w:sz w:val="24"/>
          <w:szCs w:val="24"/>
        </w:rPr>
        <w:t xml:space="preserve">3. </w:t>
      </w:r>
      <w:r>
        <w:rPr>
          <w:i/>
          <w:sz w:val="24"/>
          <w:szCs w:val="24"/>
        </w:rPr>
        <w:t>Провер</w:t>
      </w:r>
      <w:r>
        <w:rPr>
          <w:i/>
          <w:sz w:val="24"/>
          <w:szCs w:val="24"/>
        </w:rPr>
        <w:t>ка факторов кластеризации на наличие мультиколлинеарности</w:t>
      </w:r>
      <w:r>
        <w:rPr>
          <w:sz w:val="24"/>
          <w:szCs w:val="24"/>
        </w:rPr>
        <w:t>. Проверка на на</w:t>
      </w:r>
      <w:r>
        <w:rPr>
          <w:sz w:val="24"/>
          <w:szCs w:val="24"/>
        </w:rPr>
        <w:softHyphen/>
        <w:t>личие корреляционной зависимости между факторами стоимости и результирующим показателем (в данном случае рыночной стоимостью 1 кв. м площади земельного участка) не достаточна для при</w:t>
      </w:r>
      <w:r>
        <w:rPr>
          <w:sz w:val="24"/>
          <w:szCs w:val="24"/>
        </w:rPr>
        <w:t>нятия окончательного решения о включении данного фактора в модель, поскольку одним из условий построения модели множественной регрессии является независимость действия факто</w:t>
      </w:r>
      <w:r>
        <w:rPr>
          <w:sz w:val="24"/>
          <w:szCs w:val="24"/>
        </w:rPr>
        <w:softHyphen/>
        <w:t>ров. Ситуация, когда это условие нарушается, называется мультиколлинеарностью и оз</w:t>
      </w:r>
      <w:r>
        <w:rPr>
          <w:sz w:val="24"/>
          <w:szCs w:val="24"/>
        </w:rPr>
        <w:t>начает су</w:t>
      </w:r>
      <w:r>
        <w:rPr>
          <w:sz w:val="24"/>
          <w:szCs w:val="24"/>
        </w:rPr>
        <w:softHyphen/>
        <w:t>ществование тесной зависимости (сильной корреляции) между двумя и более факторами класте</w:t>
      </w:r>
      <w:r>
        <w:rPr>
          <w:sz w:val="24"/>
          <w:szCs w:val="24"/>
        </w:rPr>
        <w:softHyphen/>
        <w:t xml:space="preserve">ризации. </w:t>
      </w:r>
    </w:p>
    <w:p w:rsidR="00E85D42" w:rsidRDefault="008113B9">
      <w:pPr>
        <w:tabs>
          <w:tab w:val="left" w:pos="1080"/>
        </w:tabs>
        <w:ind w:firstLine="709"/>
        <w:jc w:val="both"/>
        <w:rPr>
          <w:sz w:val="24"/>
          <w:szCs w:val="24"/>
        </w:rPr>
      </w:pPr>
      <w:r>
        <w:rPr>
          <w:sz w:val="24"/>
          <w:szCs w:val="24"/>
        </w:rPr>
        <w:t>Для исследования факторов стоимости, отобранных для построения моделей по результа</w:t>
      </w:r>
      <w:r>
        <w:rPr>
          <w:sz w:val="24"/>
          <w:szCs w:val="24"/>
        </w:rPr>
        <w:softHyphen/>
        <w:t>там проверки репрезентативности и корреляционного анализа фактор</w:t>
      </w:r>
      <w:r>
        <w:rPr>
          <w:sz w:val="24"/>
          <w:szCs w:val="24"/>
        </w:rPr>
        <w:t>ов стоимости с результи</w:t>
      </w:r>
      <w:r>
        <w:rPr>
          <w:sz w:val="24"/>
          <w:szCs w:val="24"/>
        </w:rPr>
        <w:softHyphen/>
        <w:t>рующей переменной, на наличие мультиколлинеарности был осуществлен расчет и анализ пар</w:t>
      </w:r>
      <w:r>
        <w:rPr>
          <w:sz w:val="24"/>
          <w:szCs w:val="24"/>
        </w:rPr>
        <w:softHyphen/>
        <w:t>ных коэффициентов корреляции между факторами стоимости с применением СПО. Исследова</w:t>
      </w:r>
      <w:r>
        <w:rPr>
          <w:sz w:val="24"/>
          <w:szCs w:val="24"/>
        </w:rPr>
        <w:softHyphen/>
        <w:t>нию на наличие мультиколлинеарности подвергались пары факторо</w:t>
      </w:r>
      <w:r>
        <w:rPr>
          <w:sz w:val="24"/>
          <w:szCs w:val="24"/>
        </w:rPr>
        <w:t>в стоимости, для которых зна</w:t>
      </w:r>
      <w:r>
        <w:rPr>
          <w:sz w:val="24"/>
          <w:szCs w:val="24"/>
        </w:rPr>
        <w:softHyphen/>
        <w:t>чение парного коэффициента корреляции превышало 0,7.</w:t>
      </w:r>
    </w:p>
    <w:p w:rsidR="00E85D42" w:rsidRDefault="008113B9">
      <w:pPr>
        <w:ind w:firstLine="720"/>
        <w:jc w:val="both"/>
        <w:rPr>
          <w:sz w:val="24"/>
          <w:szCs w:val="24"/>
        </w:rPr>
      </w:pPr>
      <w:r>
        <w:rPr>
          <w:sz w:val="24"/>
          <w:szCs w:val="24"/>
        </w:rPr>
        <w:t xml:space="preserve">Анализ рынка недвижимости на территории населенных пунктов Республики Башкортостан показал, что на величину цены предложения или цены спроса на объекты недвижимого имущества </w:t>
      </w:r>
      <w:r>
        <w:rPr>
          <w:sz w:val="24"/>
          <w:szCs w:val="24"/>
        </w:rPr>
        <w:t>(земельные участки) как правило, влияют несколько основных факторов стоимости. Поэтому в рамках расчета кадастровой стоимости земельных участков, в процессе определения состава факторов стоимости, участвующих в расчете, были выбраны наиболее значимые ценоо</w:t>
      </w:r>
      <w:r>
        <w:rPr>
          <w:sz w:val="24"/>
          <w:szCs w:val="24"/>
        </w:rPr>
        <w:t>бразующие факторы, для которых была выявлена зависимость рыночной стоимости от значения фактора.</w:t>
      </w:r>
    </w:p>
    <w:p w:rsidR="00E85D42" w:rsidRDefault="008113B9">
      <w:pPr>
        <w:rPr>
          <w:i/>
          <w:sz w:val="24"/>
          <w:szCs w:val="24"/>
        </w:rPr>
      </w:pPr>
      <w:r>
        <w:rPr>
          <w:i/>
          <w:sz w:val="24"/>
          <w:szCs w:val="24"/>
        </w:rPr>
        <w:t>Построение моделей расчета кадастровой стоимости земельных участков каждой сформированной группы</w:t>
      </w:r>
    </w:p>
    <w:p w:rsidR="00E85D42" w:rsidRDefault="008113B9">
      <w:pPr>
        <w:pStyle w:val="Standarduser"/>
        <w:ind w:firstLine="720"/>
        <w:jc w:val="both"/>
      </w:pPr>
      <w:r>
        <w:t xml:space="preserve">Цель построения моделей расчета кадастровой стоимости </w:t>
      </w:r>
      <w:r>
        <w:t>земельных участков каждой группы (далее – модель расчета) состоит в получении статистически значимой и качественной модели расчета для каждой группы земельных участков.</w:t>
      </w:r>
    </w:p>
    <w:p w:rsidR="00E85D42" w:rsidRDefault="008113B9">
      <w:pPr>
        <w:pStyle w:val="Standarduser"/>
        <w:ind w:firstLine="720"/>
        <w:jc w:val="both"/>
      </w:pPr>
      <w:r>
        <w:t>Под моделью расчета понимается математическая формула, отображающая связь между зависим</w:t>
      </w:r>
      <w:r>
        <w:t>ой переменной и значениями соответствующих факторов стоимости. В качестве зависимой переменной может выступать удельный показатель кадастровой стоимости земельных участков или кадастровая стоимость земельных участков.</w:t>
      </w:r>
    </w:p>
    <w:p w:rsidR="00E85D42" w:rsidRDefault="008113B9">
      <w:pPr>
        <w:pStyle w:val="Standarduser"/>
        <w:ind w:firstLine="709"/>
        <w:jc w:val="both"/>
      </w:pPr>
      <w:r>
        <w:t xml:space="preserve">Для определения кадастровой стоимости </w:t>
      </w:r>
      <w:r>
        <w:t>или УПКС земельных участков каждой сформированной группы могут использоваться следующие регрессионные модели:</w:t>
      </w:r>
    </w:p>
    <w:p w:rsidR="00E85D42" w:rsidRDefault="008113B9">
      <w:pPr>
        <w:pStyle w:val="Standarduser"/>
        <w:jc w:val="both"/>
      </w:pPr>
      <w:r>
        <w:t>Линейная</w:t>
      </w:r>
      <w:r>
        <w:rPr>
          <w:lang w:val="en-US"/>
        </w:rPr>
        <w:t xml:space="preserve"> (</w:t>
      </w:r>
      <w:r>
        <w:t>аддитивная</w:t>
      </w:r>
      <w:r>
        <w:rPr>
          <w:lang w:val="en-US"/>
        </w:rPr>
        <w:t>):</w:t>
      </w:r>
    </w:p>
    <w:p w:rsidR="00E85D42" w:rsidRDefault="008113B9">
      <w:pPr>
        <w:pStyle w:val="Standarduser"/>
        <w:ind w:firstLine="708"/>
        <w:jc w:val="both"/>
        <w:rPr>
          <w:lang w:val="en-US"/>
        </w:rPr>
      </w:pPr>
      <w:r>
        <w:rPr>
          <w:lang w:val="en-US"/>
        </w:rPr>
        <w:t>Y=a_0+a_1 X_1+"..."+a_nX_n</w:t>
      </w:r>
      <w:r>
        <w:rPr>
          <w:lang w:val="en-US"/>
        </w:rPr>
        <w:tab/>
      </w:r>
    </w:p>
    <w:p w:rsidR="00E85D42" w:rsidRDefault="008113B9">
      <w:pPr>
        <w:pStyle w:val="Standarduser"/>
        <w:jc w:val="both"/>
      </w:pPr>
      <w:r>
        <w:t>Мультипликативная степенная (без выделения двоичных факторов):</w:t>
      </w:r>
    </w:p>
    <w:p w:rsidR="00E85D42" w:rsidRDefault="008113B9">
      <w:pPr>
        <w:pStyle w:val="Standarduser"/>
        <w:ind w:firstLine="708"/>
        <w:jc w:val="both"/>
      </w:pPr>
      <w:r>
        <w:rPr>
          <w:lang w:val="en-US"/>
        </w:rPr>
        <w:t>Y</w:t>
      </w:r>
      <w:r>
        <w:t>=</w:t>
      </w:r>
      <w:r>
        <w:rPr>
          <w:lang w:val="en-US"/>
        </w:rPr>
        <w:t>a</w:t>
      </w:r>
      <w:r>
        <w:t xml:space="preserve">_0 </w:t>
      </w:r>
      <w:r>
        <w:rPr>
          <w:lang w:val="en-US"/>
        </w:rPr>
        <w:t>X</w:t>
      </w:r>
      <w:r>
        <w:t>_1^(</w:t>
      </w:r>
      <w:r>
        <w:rPr>
          <w:lang w:val="en-US"/>
        </w:rPr>
        <w:t>a</w:t>
      </w:r>
      <w:r>
        <w:t xml:space="preserve">_1 ) "..." </w:t>
      </w:r>
      <w:r>
        <w:rPr>
          <w:lang w:val="en-US"/>
        </w:rPr>
        <w:t>X</w:t>
      </w:r>
      <w:r>
        <w:t>_</w:t>
      </w:r>
      <w:r>
        <w:rPr>
          <w:lang w:val="en-US"/>
        </w:rPr>
        <w:t>n</w:t>
      </w:r>
      <w:r>
        <w:t>^(</w:t>
      </w:r>
      <w:r>
        <w:rPr>
          <w:lang w:val="en-US"/>
        </w:rPr>
        <w:t>a</w:t>
      </w:r>
      <w:r>
        <w:t>_</w:t>
      </w:r>
      <w:r>
        <w:rPr>
          <w:lang w:val="en-US"/>
        </w:rPr>
        <w:t>n</w:t>
      </w:r>
      <w:r>
        <w:t xml:space="preserve"> </w:t>
      </w:r>
      <w:r>
        <w:t>)</w:t>
      </w:r>
    </w:p>
    <w:p w:rsidR="00E85D42" w:rsidRDefault="008113B9">
      <w:pPr>
        <w:pStyle w:val="Standarduser"/>
        <w:jc w:val="both"/>
      </w:pPr>
      <w:r>
        <w:t>Экспоненциальная модель:</w:t>
      </w:r>
    </w:p>
    <w:p w:rsidR="00E85D42" w:rsidRDefault="008113B9">
      <w:pPr>
        <w:pStyle w:val="Standarduser"/>
        <w:ind w:firstLine="708"/>
        <w:jc w:val="both"/>
      </w:pPr>
      <w:r>
        <w:rPr>
          <w:lang w:val="en-US"/>
        </w:rPr>
        <w:t>Y</w:t>
      </w:r>
      <w:r>
        <w:t>=</w:t>
      </w:r>
      <w:r>
        <w:rPr>
          <w:lang w:val="en-US"/>
        </w:rPr>
        <w:t>a</w:t>
      </w:r>
      <w:r>
        <w:t xml:space="preserve">_0 </w:t>
      </w:r>
      <w:r>
        <w:rPr>
          <w:lang w:val="en-US"/>
        </w:rPr>
        <w:t>e</w:t>
      </w:r>
      <w:r>
        <w:t>^(</w:t>
      </w:r>
      <w:r>
        <w:rPr>
          <w:lang w:val="en-US"/>
        </w:rPr>
        <w:t>a</w:t>
      </w:r>
      <w:r>
        <w:t xml:space="preserve">_1 </w:t>
      </w:r>
      <w:r>
        <w:rPr>
          <w:lang w:val="en-US"/>
        </w:rPr>
        <w:t>X</w:t>
      </w:r>
      <w:r>
        <w:t>_1+"..." +</w:t>
      </w:r>
      <w:r>
        <w:rPr>
          <w:lang w:val="en-US"/>
        </w:rPr>
        <w:t>a</w:t>
      </w:r>
      <w:r>
        <w:t>_</w:t>
      </w:r>
      <w:r>
        <w:rPr>
          <w:lang w:val="en-US"/>
        </w:rPr>
        <w:t>nX</w:t>
      </w:r>
      <w:r>
        <w:t>_</w:t>
      </w:r>
      <w:r>
        <w:rPr>
          <w:lang w:val="en-US"/>
        </w:rPr>
        <w:t>n</w:t>
      </w:r>
      <w:r>
        <w:t xml:space="preserve"> )</w:t>
      </w:r>
    </w:p>
    <w:p w:rsidR="00E85D42" w:rsidRDefault="008113B9">
      <w:pPr>
        <w:pStyle w:val="Standarduser"/>
        <w:ind w:firstLine="708"/>
        <w:jc w:val="both"/>
      </w:pPr>
      <w:r>
        <w:t>где Y – зависимая переменная (рыночная стоимость 1 кв. м земельного участка), X1,…,Xn – значения факторов кластеризации, а0, а1…аn – коэффициенты модели.</w:t>
      </w:r>
    </w:p>
    <w:p w:rsidR="00E85D42" w:rsidRDefault="00E85D42">
      <w:pPr>
        <w:pStyle w:val="Standarduser"/>
        <w:ind w:firstLine="709"/>
        <w:jc w:val="both"/>
      </w:pPr>
    </w:p>
    <w:p w:rsidR="00E85D42" w:rsidRDefault="008113B9">
      <w:pPr>
        <w:pStyle w:val="Standarduser"/>
        <w:ind w:firstLine="709"/>
        <w:jc w:val="both"/>
      </w:pPr>
      <w:r>
        <w:t>Программное обеспечение АИСГКО «Расчет ка</w:t>
      </w:r>
      <w:r>
        <w:t>дастровой стоимости объектов недвижимости» осуществляет разделение участков с известной рыночной стоимостью на две группы: обучающую и контрольную. По данным обучающей выборки строится модель, расчет стоимости по которой должен быть сопоставлен со стоимост</w:t>
      </w:r>
      <w:r>
        <w:t>ью участков из контрольной выборки. Предусмотрено сохранение распределения объектов-аналогов на обучающую и контрольную выборки для каждой группы в отдельности. Диаграмма «Обучающая и контрольная выборки» позволяет просмотреть распределение объектов-аналог</w:t>
      </w:r>
      <w:r>
        <w:t>ов по выборкам.</w:t>
      </w:r>
    </w:p>
    <w:p w:rsidR="00E85D42" w:rsidRDefault="008113B9">
      <w:pPr>
        <w:pStyle w:val="Standarduser"/>
        <w:ind w:firstLine="709"/>
        <w:jc w:val="both"/>
      </w:pPr>
      <w:r>
        <w:t>Результаты расчета параметров качества статистически значимых моделей для каждой сформированной группы для обучающей и контрольной выборок отображеныв Таблице «Анализ качества модели 13 сегмент» Приложения2.</w:t>
      </w:r>
    </w:p>
    <w:p w:rsidR="00E85D42" w:rsidRDefault="008113B9">
      <w:pPr>
        <w:pStyle w:val="Standarduser"/>
        <w:ind w:firstLine="709"/>
        <w:jc w:val="both"/>
      </w:pPr>
      <w:r>
        <w:t>Результат отбора моделей для каж</w:t>
      </w:r>
      <w:r>
        <w:t>дой сформированной группы отображенв Таблице «Анализ качества модели 13 сегмент» Приложения2.</w:t>
      </w:r>
    </w:p>
    <w:p w:rsidR="00E85D42" w:rsidRDefault="008113B9">
      <w:pPr>
        <w:pStyle w:val="Standarduser"/>
        <w:ind w:firstLine="709"/>
        <w:jc w:val="both"/>
      </w:pPr>
      <w:r>
        <w:t>Результат выбора наиболее качественной модели по критерию «Средняя относительная погрешность оценки» отображенв Таблице «Анализ качества модели 13 сегмент» Прилож</w:t>
      </w:r>
      <w:r>
        <w:t>ения2.</w:t>
      </w:r>
    </w:p>
    <w:p w:rsidR="00E85D42" w:rsidRDefault="008113B9">
      <w:pPr>
        <w:pStyle w:val="Standarduser"/>
        <w:ind w:firstLine="709"/>
        <w:jc w:val="both"/>
      </w:pPr>
      <w:r>
        <w:t>Величина средней относительной погрешности оценки на рассматриваемой выборке i–го объектаопределяется как:</w:t>
      </w:r>
    </w:p>
    <w:p w:rsidR="00E85D42" w:rsidRDefault="008113B9">
      <w:pPr>
        <w:pStyle w:val="Standarduser"/>
        <w:ind w:firstLine="709"/>
        <w:jc w:val="both"/>
      </w:pPr>
      <w:r>
        <w:rPr>
          <w:noProof/>
          <w:lang w:eastAsia="ru-RU"/>
        </w:rPr>
        <w:drawing>
          <wp:inline distT="0" distB="0" distL="0" distR="0">
            <wp:extent cx="1249198" cy="614522"/>
            <wp:effectExtent l="0" t="0" r="8102" b="0"/>
            <wp:docPr id="150"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lum/>
                      <a:alphaModFix/>
                    </a:blip>
                    <a:srcRect/>
                    <a:stretch>
                      <a:fillRect/>
                    </a:stretch>
                  </pic:blipFill>
                  <pic:spPr>
                    <a:xfrm>
                      <a:off x="0" y="0"/>
                      <a:ext cx="1249198" cy="614522"/>
                    </a:xfrm>
                    <a:prstGeom prst="rect">
                      <a:avLst/>
                    </a:prstGeom>
                    <a:noFill/>
                    <a:ln>
                      <a:noFill/>
                      <a:prstDash/>
                    </a:ln>
                  </pic:spPr>
                </pic:pic>
              </a:graphicData>
            </a:graphic>
          </wp:inline>
        </w:drawing>
      </w:r>
    </w:p>
    <w:p w:rsidR="00E85D42" w:rsidRDefault="008113B9">
      <w:pPr>
        <w:pStyle w:val="Standarduser"/>
        <w:ind w:firstLine="709"/>
        <w:jc w:val="both"/>
      </w:pPr>
      <w:r>
        <w:t>, где N – число наблюдений (объектов) в рассматриваемой выборке.</w:t>
      </w:r>
    </w:p>
    <w:p w:rsidR="00E85D42" w:rsidRDefault="008113B9">
      <w:pPr>
        <w:pStyle w:val="Standarduser"/>
        <w:ind w:firstLine="709"/>
        <w:jc w:val="both"/>
      </w:pPr>
      <w:r>
        <w:t>Ограничения, накладываемые на данный параметр для обучающей выборки, состав</w:t>
      </w:r>
      <w:r>
        <w:t>ляют 40%, для контрольной 50%, при увеличении не более, чем в 1,5 раза.</w:t>
      </w:r>
    </w:p>
    <w:p w:rsidR="00E85D42" w:rsidRDefault="008113B9">
      <w:pPr>
        <w:pStyle w:val="Standarduser"/>
        <w:spacing w:after="120"/>
        <w:ind w:firstLine="709"/>
        <w:jc w:val="both"/>
      </w:pPr>
      <w:r>
        <w:rPr>
          <w:rFonts w:eastAsia="Calibri, sans-serif"/>
          <w:lang w:eastAsia="en-US"/>
        </w:rPr>
        <w:t>Из всех полученных моделей для каждой группы выбирается статистически значимая модель, обладающая наилучшим качеством. Построенная модель расчёта должна отвечать требованиям предметной</w:t>
      </w:r>
      <w:r>
        <w:rPr>
          <w:rFonts w:eastAsia="Calibri, sans-serif"/>
          <w:lang w:eastAsia="en-US"/>
        </w:rPr>
        <w:t xml:space="preserve"> интерпретации (объяснимости), а также удовлетворять допустимым уровням показателей качества статистических моделей данного вида. Данная операция производится в автоматическом режиме средствами </w:t>
      </w:r>
      <w:r>
        <w:t>специального программного обеспечения АИС ГКО «Расчет кадастро</w:t>
      </w:r>
      <w:r>
        <w:t>вой стоимости объектов недвижимости»</w:t>
      </w:r>
      <w:r>
        <w:rPr>
          <w:rFonts w:eastAsia="Calibri, sans-serif"/>
          <w:lang w:eastAsia="en-US"/>
        </w:rPr>
        <w:t>. Ниже представлены статистические модели для каждой группы видов разрешенного использования, обладающие наилучшим качеством:</w:t>
      </w:r>
    </w:p>
    <w:p w:rsidR="00E85D42" w:rsidRDefault="008113B9">
      <w:pPr>
        <w:pStyle w:val="Standarduser"/>
        <w:tabs>
          <w:tab w:val="left" w:pos="1134"/>
        </w:tabs>
        <w:spacing w:before="120" w:line="288" w:lineRule="auto"/>
        <w:jc w:val="both"/>
        <w:rPr>
          <w:b/>
        </w:rPr>
      </w:pPr>
      <w:r>
        <w:rPr>
          <w:b/>
        </w:rPr>
        <w:t>Земельные участки, предназначенные для размещения домов индивидуальной жилой застройки в крупн</w:t>
      </w:r>
      <w:r>
        <w:rPr>
          <w:b/>
        </w:rPr>
        <w:t>ых городах РБ:</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E85D42">
      <w:pPr>
        <w:pStyle w:val="Standarduser"/>
        <w:tabs>
          <w:tab w:val="left" w:pos="1134"/>
          <w:tab w:val="left" w:pos="1701"/>
        </w:tabs>
        <w:spacing w:line="288" w:lineRule="auto"/>
        <w:ind w:firstLine="720"/>
        <w:jc w:val="both"/>
        <w:rPr>
          <w:b/>
        </w:rPr>
      </w:pPr>
    </w:p>
    <w:p w:rsidR="00E85D42" w:rsidRDefault="008113B9">
      <w:pPr>
        <w:pStyle w:val="Standarduser"/>
        <w:tabs>
          <w:tab w:val="left" w:pos="1134"/>
          <w:tab w:val="left" w:pos="1701"/>
        </w:tabs>
        <w:spacing w:line="288" w:lineRule="auto"/>
        <w:jc w:val="both"/>
        <w:rPr>
          <w:sz w:val="20"/>
          <w:szCs w:val="20"/>
        </w:rPr>
      </w:pPr>
      <w:r>
        <w:rPr>
          <w:sz w:val="20"/>
          <w:szCs w:val="20"/>
        </w:rPr>
        <w:t xml:space="preserve">УПКС = 142.88975756310458 * e^(0.07930011465059783*Расстояние до остановок общественного транспорта+0.3034055843397039*Численность населения в населенном пункте+0.1074620794583907*Расстояние до </w:t>
      </w:r>
      <w:r>
        <w:rPr>
          <w:sz w:val="20"/>
          <w:szCs w:val="20"/>
        </w:rPr>
        <w:t>объектов социальной инфраструктуры+0.29451905800173916*Расстояние до историко-культурного центра+0.0549273470767897*Расстояние до административного центра)</w:t>
      </w:r>
      <w:r>
        <w:rPr>
          <w:sz w:val="20"/>
          <w:szCs w:val="20"/>
        </w:rPr>
        <w:tab/>
      </w:r>
      <w:r>
        <w:rPr>
          <w:sz w:val="20"/>
          <w:szCs w:val="20"/>
        </w:rPr>
        <w:tab/>
      </w:r>
      <w:r>
        <w:rPr>
          <w:sz w:val="20"/>
          <w:szCs w:val="20"/>
        </w:rPr>
        <w:tab/>
      </w:r>
    </w:p>
    <w:p w:rsidR="00E85D42" w:rsidRDefault="00E85D42">
      <w:pPr>
        <w:pStyle w:val="Standarduser"/>
        <w:jc w:val="both"/>
      </w:pPr>
    </w:p>
    <w:p w:rsidR="00E85D42" w:rsidRDefault="008113B9">
      <w:pPr>
        <w:pStyle w:val="Standarduser"/>
        <w:jc w:val="right"/>
      </w:pPr>
      <w:r>
        <w:t>Таблица 3.6.13.1</w:t>
      </w:r>
    </w:p>
    <w:tbl>
      <w:tblPr>
        <w:tblW w:w="5000" w:type="pct"/>
        <w:jc w:val="center"/>
        <w:tblLayout w:type="fixed"/>
        <w:tblCellMar>
          <w:left w:w="10" w:type="dxa"/>
          <w:right w:w="10" w:type="dxa"/>
        </w:tblCellMar>
        <w:tblLook w:val="04A0" w:firstRow="1" w:lastRow="0" w:firstColumn="1" w:lastColumn="0" w:noHBand="0" w:noVBand="1"/>
      </w:tblPr>
      <w:tblGrid>
        <w:gridCol w:w="2795"/>
        <w:gridCol w:w="589"/>
        <w:gridCol w:w="4863"/>
        <w:gridCol w:w="1467"/>
      </w:tblGrid>
      <w:tr w:rsidR="00E85D42">
        <w:tblPrEx>
          <w:tblCellMar>
            <w:top w:w="0" w:type="dxa"/>
            <w:bottom w:w="0" w:type="dxa"/>
          </w:tblCellMar>
        </w:tblPrEx>
        <w:trPr>
          <w:trHeight w:val="645"/>
          <w:jc w:val="center"/>
        </w:trPr>
        <w:tc>
          <w:tcPr>
            <w:tcW w:w="27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rPr>
            </w:pPr>
            <w:r>
              <w:rPr>
                <w:color w:val="000000"/>
              </w:rPr>
              <w:t>Ценообразующий фактор</w:t>
            </w:r>
          </w:p>
        </w:tc>
        <w:tc>
          <w:tcPr>
            <w:tcW w:w="58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t xml:space="preserve">№ </w:t>
            </w:r>
          </w:p>
        </w:tc>
        <w:tc>
          <w:tcPr>
            <w:tcW w:w="486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pStyle w:val="Standarduser"/>
              <w:jc w:val="center"/>
              <w:rPr>
                <w:sz w:val="22"/>
                <w:szCs w:val="22"/>
              </w:rPr>
            </w:pPr>
            <w:r>
              <w:rPr>
                <w:sz w:val="22"/>
                <w:szCs w:val="22"/>
              </w:rPr>
              <w:t>Формула для расчета</w:t>
            </w:r>
          </w:p>
          <w:p w:rsidR="00E85D42" w:rsidRDefault="00E85D42">
            <w:pPr>
              <w:jc w:val="center"/>
              <w:rPr>
                <w:color w:val="000000"/>
                <w:sz w:val="18"/>
                <w:szCs w:val="18"/>
              </w:rPr>
            </w:pPr>
          </w:p>
          <w:p w:rsidR="00E85D42" w:rsidRDefault="008113B9">
            <w:pPr>
              <w:jc w:val="center"/>
            </w:pPr>
            <w:r>
              <w:rPr>
                <w:color w:val="000000"/>
                <w:sz w:val="22"/>
                <w:szCs w:val="22"/>
              </w:rPr>
              <w:t>Y = 142.88975756310458 * e</w:t>
            </w:r>
            <w:r>
              <w:rPr>
                <w:color w:val="000000"/>
                <w:sz w:val="22"/>
                <w:szCs w:val="22"/>
                <w:vertAlign w:val="superscript"/>
              </w:rPr>
              <w:t xml:space="preserve">0.0549273470767897 * </w:t>
            </w:r>
            <w:r>
              <w:rPr>
                <w:color w:val="000000"/>
                <w:sz w:val="22"/>
                <w:szCs w:val="22"/>
                <w:vertAlign w:val="superscript"/>
                <w:lang w:val="en-US"/>
              </w:rPr>
              <w:t>F</w:t>
            </w:r>
            <w:r>
              <w:rPr>
                <w:color w:val="000000"/>
                <w:sz w:val="22"/>
                <w:szCs w:val="22"/>
                <w:vertAlign w:val="superscript"/>
              </w:rPr>
              <w:t xml:space="preserve">1 + 0.29451905800173916 * </w:t>
            </w:r>
            <w:r>
              <w:rPr>
                <w:color w:val="000000"/>
                <w:sz w:val="22"/>
                <w:szCs w:val="22"/>
                <w:vertAlign w:val="superscript"/>
                <w:lang w:val="en-US"/>
              </w:rPr>
              <w:t>F</w:t>
            </w:r>
            <w:r>
              <w:rPr>
                <w:color w:val="000000"/>
                <w:sz w:val="22"/>
                <w:szCs w:val="22"/>
                <w:vertAlign w:val="superscript"/>
              </w:rPr>
              <w:t xml:space="preserve">2 + 0.1074620794583907 * </w:t>
            </w:r>
            <w:r>
              <w:rPr>
                <w:color w:val="000000"/>
                <w:sz w:val="22"/>
                <w:szCs w:val="22"/>
                <w:vertAlign w:val="superscript"/>
                <w:lang w:val="en-US"/>
              </w:rPr>
              <w:t>F</w:t>
            </w:r>
            <w:r>
              <w:rPr>
                <w:color w:val="000000"/>
                <w:sz w:val="22"/>
                <w:szCs w:val="22"/>
                <w:vertAlign w:val="superscript"/>
              </w:rPr>
              <w:t xml:space="preserve">3 + 0.07930011465059783 * </w:t>
            </w:r>
            <w:r>
              <w:rPr>
                <w:color w:val="000000"/>
                <w:sz w:val="22"/>
                <w:szCs w:val="22"/>
                <w:vertAlign w:val="superscript"/>
                <w:lang w:val="en-US"/>
              </w:rPr>
              <w:t>F</w:t>
            </w:r>
            <w:r>
              <w:rPr>
                <w:color w:val="000000"/>
                <w:sz w:val="22"/>
                <w:szCs w:val="22"/>
                <w:vertAlign w:val="superscript"/>
              </w:rPr>
              <w:t xml:space="preserve">4 + 0.3034055843397039 * </w:t>
            </w:r>
            <w:r>
              <w:rPr>
                <w:color w:val="000000"/>
                <w:sz w:val="22"/>
                <w:szCs w:val="22"/>
                <w:vertAlign w:val="superscript"/>
                <w:lang w:val="en-US"/>
              </w:rPr>
              <w:t>F</w:t>
            </w:r>
            <w:r>
              <w:rPr>
                <w:color w:val="000000"/>
                <w:sz w:val="22"/>
                <w:szCs w:val="22"/>
                <w:vertAlign w:val="superscript"/>
              </w:rPr>
              <w:t>5</w:t>
            </w:r>
          </w:p>
        </w:tc>
        <w:tc>
          <w:tcPr>
            <w:tcW w:w="146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495"/>
          <w:jc w:val="center"/>
        </w:trPr>
        <w:tc>
          <w:tcPr>
            <w:tcW w:w="27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Расстояние до остановок общественного транспорта, м</w:t>
            </w:r>
          </w:p>
        </w:tc>
        <w:tc>
          <w:tcPr>
            <w:tcW w:w="58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86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1824.6304166666666/(542.5939999999999+X0)</w:t>
            </w:r>
          </w:p>
        </w:tc>
        <w:tc>
          <w:tcPr>
            <w:tcW w:w="146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0,63</w:t>
            </w:r>
          </w:p>
        </w:tc>
      </w:tr>
      <w:tr w:rsidR="00E85D42">
        <w:tblPrEx>
          <w:tblCellMar>
            <w:top w:w="0" w:type="dxa"/>
            <w:bottom w:w="0" w:type="dxa"/>
          </w:tblCellMar>
        </w:tblPrEx>
        <w:trPr>
          <w:trHeight w:val="315"/>
          <w:jc w:val="center"/>
        </w:trPr>
        <w:tc>
          <w:tcPr>
            <w:tcW w:w="27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Численность</w:t>
            </w:r>
            <w:r>
              <w:rPr>
                <w:color w:val="000000"/>
                <w:sz w:val="22"/>
                <w:szCs w:val="22"/>
              </w:rPr>
              <w:t xml:space="preserve"> населения в населенном пункте, чел</w:t>
            </w:r>
          </w:p>
        </w:tc>
        <w:tc>
          <w:tcPr>
            <w:tcW w:w="58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86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(78690.6+X1)/131642.2916666667</w:t>
            </w:r>
          </w:p>
        </w:tc>
        <w:tc>
          <w:tcPr>
            <w:tcW w:w="146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0,45</w:t>
            </w:r>
          </w:p>
        </w:tc>
      </w:tr>
      <w:tr w:rsidR="00E85D42">
        <w:tblPrEx>
          <w:tblCellMar>
            <w:top w:w="0" w:type="dxa"/>
            <w:bottom w:w="0" w:type="dxa"/>
          </w:tblCellMar>
        </w:tblPrEx>
        <w:trPr>
          <w:trHeight w:val="315"/>
          <w:jc w:val="center"/>
        </w:trPr>
        <w:tc>
          <w:tcPr>
            <w:tcW w:w="27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Расстояние до объектов социальной инфраструктуры, м</w:t>
            </w:r>
          </w:p>
        </w:tc>
        <w:tc>
          <w:tcPr>
            <w:tcW w:w="58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F3</w:t>
            </w:r>
          </w:p>
        </w:tc>
        <w:tc>
          <w:tcPr>
            <w:tcW w:w="486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1524.4914583333334/(486.492+X2)</w:t>
            </w:r>
          </w:p>
        </w:tc>
        <w:tc>
          <w:tcPr>
            <w:tcW w:w="146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0,59</w:t>
            </w:r>
          </w:p>
        </w:tc>
      </w:tr>
      <w:tr w:rsidR="00E85D42">
        <w:tblPrEx>
          <w:tblCellMar>
            <w:top w:w="0" w:type="dxa"/>
            <w:bottom w:w="0" w:type="dxa"/>
          </w:tblCellMar>
        </w:tblPrEx>
        <w:trPr>
          <w:trHeight w:val="300"/>
          <w:jc w:val="center"/>
        </w:trPr>
        <w:tc>
          <w:tcPr>
            <w:tcW w:w="27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Расстояние до историко-культурного центра, м</w:t>
            </w:r>
          </w:p>
        </w:tc>
        <w:tc>
          <w:tcPr>
            <w:tcW w:w="58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F4</w:t>
            </w:r>
          </w:p>
        </w:tc>
        <w:tc>
          <w:tcPr>
            <w:tcW w:w="486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5320.7325/(1600.1220000000003+X3)</w:t>
            </w:r>
          </w:p>
        </w:tc>
        <w:tc>
          <w:tcPr>
            <w:tcW w:w="146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0,92</w:t>
            </w:r>
          </w:p>
        </w:tc>
      </w:tr>
      <w:tr w:rsidR="00E85D42">
        <w:tblPrEx>
          <w:tblCellMar>
            <w:top w:w="0" w:type="dxa"/>
            <w:bottom w:w="0" w:type="dxa"/>
          </w:tblCellMar>
        </w:tblPrEx>
        <w:trPr>
          <w:trHeight w:val="300"/>
          <w:jc w:val="center"/>
        </w:trPr>
        <w:tc>
          <w:tcPr>
            <w:tcW w:w="27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Расстояние до административного центра, м</w:t>
            </w:r>
          </w:p>
        </w:tc>
        <w:tc>
          <w:tcPr>
            <w:tcW w:w="58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F5</w:t>
            </w:r>
          </w:p>
        </w:tc>
        <w:tc>
          <w:tcPr>
            <w:tcW w:w="486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5709.993520833334/(1897.9756000000002+X4)</w:t>
            </w:r>
          </w:p>
        </w:tc>
        <w:tc>
          <w:tcPr>
            <w:tcW w:w="146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color w:val="000000"/>
                <w:sz w:val="22"/>
                <w:szCs w:val="22"/>
              </w:rPr>
              <w:t>0,79</w:t>
            </w:r>
          </w:p>
        </w:tc>
      </w:tr>
    </w:tbl>
    <w:p w:rsidR="00E85D42" w:rsidRDefault="008113B9">
      <w:pPr>
        <w:pStyle w:val="Standarduser"/>
        <w:jc w:val="both"/>
      </w:pPr>
      <w:r>
        <w:t>Далее в таблице приведен анализ качества модели:</w:t>
      </w:r>
    </w:p>
    <w:p w:rsidR="00E85D42" w:rsidRDefault="00E85D42">
      <w:pPr>
        <w:pStyle w:val="Standarduser"/>
        <w:jc w:val="right"/>
      </w:pPr>
    </w:p>
    <w:p w:rsidR="00E85D42" w:rsidRDefault="00E85D42">
      <w:pPr>
        <w:pStyle w:val="Standarduser"/>
        <w:jc w:val="right"/>
      </w:pPr>
    </w:p>
    <w:p w:rsidR="00E85D42" w:rsidRDefault="00E85D42">
      <w:pPr>
        <w:pStyle w:val="Standarduser"/>
        <w:jc w:val="right"/>
      </w:pPr>
    </w:p>
    <w:p w:rsidR="00E85D42" w:rsidRDefault="008113B9">
      <w:pPr>
        <w:pStyle w:val="Standarduser"/>
        <w:jc w:val="right"/>
      </w:pPr>
      <w:r>
        <w:t>Таблица 3.6.13.2</w:t>
      </w:r>
    </w:p>
    <w:tbl>
      <w:tblPr>
        <w:tblW w:w="9528" w:type="dxa"/>
        <w:tblCellMar>
          <w:left w:w="10" w:type="dxa"/>
          <w:right w:w="10" w:type="dxa"/>
        </w:tblCellMar>
        <w:tblLook w:val="04A0" w:firstRow="1" w:lastRow="0" w:firstColumn="1" w:lastColumn="0" w:noHBand="0" w:noVBand="1"/>
      </w:tblPr>
      <w:tblGrid>
        <w:gridCol w:w="1737"/>
        <w:gridCol w:w="1023"/>
        <w:gridCol w:w="1050"/>
        <w:gridCol w:w="1137"/>
        <w:gridCol w:w="1076"/>
        <w:gridCol w:w="1166"/>
        <w:gridCol w:w="1123"/>
        <w:gridCol w:w="1216"/>
      </w:tblGrid>
      <w:tr w:rsidR="00E85D42">
        <w:tblPrEx>
          <w:tblCellMar>
            <w:top w:w="0" w:type="dxa"/>
            <w:bottom w:w="0" w:type="dxa"/>
          </w:tblCellMar>
        </w:tblPrEx>
        <w:trPr>
          <w:tblHeader/>
        </w:trPr>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w:t>
            </w:r>
            <w:r>
              <w:rPr>
                <w:b/>
                <w:bCs/>
                <w:color w:val="212529"/>
              </w:rPr>
              <w:t xml:space="preserve"> погрешность</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7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6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9.17317</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0.36472</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0.2816</w:t>
            </w:r>
          </w:p>
        </w:tc>
        <w:tc>
          <w:tcPr>
            <w:tcW w:w="107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0.81247</w:t>
            </w:r>
          </w:p>
        </w:tc>
        <w:tc>
          <w:tcPr>
            <w:tcW w:w="116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0.80671</w:t>
            </w:r>
          </w:p>
        </w:tc>
        <w:tc>
          <w:tcPr>
            <w:tcW w:w="11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0.12458</w:t>
            </w:r>
          </w:p>
        </w:tc>
        <w:tc>
          <w:tcPr>
            <w:tcW w:w="121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0.1282</w:t>
            </w:r>
          </w:p>
        </w:tc>
      </w:tr>
    </w:tbl>
    <w:p w:rsidR="00E85D42" w:rsidRDefault="00E85D42">
      <w:pPr>
        <w:pStyle w:val="Standarduser"/>
        <w:jc w:val="both"/>
      </w:pPr>
    </w:p>
    <w:p w:rsidR="00E85D42" w:rsidRDefault="008113B9">
      <w:pPr>
        <w:pStyle w:val="Standarduser"/>
        <w:tabs>
          <w:tab w:val="left" w:pos="1134"/>
        </w:tabs>
        <w:spacing w:before="120" w:line="288" w:lineRule="auto"/>
        <w:jc w:val="both"/>
        <w:rPr>
          <w:b/>
        </w:rPr>
      </w:pPr>
      <w:r>
        <w:rPr>
          <w:b/>
        </w:rPr>
        <w:t xml:space="preserve">Земельные участки, предназначенные для размещения домов индивидуальной жилой застройки в </w:t>
      </w:r>
      <w:r>
        <w:rPr>
          <w:b/>
        </w:rPr>
        <w:t>малых городах РБ:</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pStyle w:val="Standarduser"/>
        <w:tabs>
          <w:tab w:val="left" w:pos="1134"/>
          <w:tab w:val="left" w:pos="1701"/>
        </w:tabs>
        <w:spacing w:line="288" w:lineRule="auto"/>
        <w:ind w:firstLine="720"/>
        <w:jc w:val="both"/>
        <w:rPr>
          <w:sz w:val="20"/>
          <w:szCs w:val="20"/>
        </w:rPr>
      </w:pPr>
      <w:r>
        <w:rPr>
          <w:sz w:val="20"/>
          <w:szCs w:val="20"/>
        </w:rPr>
        <w:t>УПКС = 150.28069986423435 * e^(0.0011007280924488771*Расстояние до остановок общественного транспорта-0.036545957646200666*Расстояние до объектов социальной инфраструктуры+0.6183658891798127*Ра</w:t>
      </w:r>
      <w:r>
        <w:rPr>
          <w:sz w:val="20"/>
          <w:szCs w:val="20"/>
        </w:rPr>
        <w:t>сстояние до административного центра+0.1666754238501832*Численность населения в населенном пункте)</w:t>
      </w:r>
      <w:r>
        <w:rPr>
          <w:sz w:val="20"/>
          <w:szCs w:val="20"/>
        </w:rPr>
        <w:tab/>
      </w:r>
      <w:r>
        <w:rPr>
          <w:sz w:val="20"/>
          <w:szCs w:val="20"/>
        </w:rPr>
        <w:tab/>
      </w:r>
      <w:r>
        <w:rPr>
          <w:sz w:val="20"/>
          <w:szCs w:val="20"/>
        </w:rPr>
        <w:tab/>
      </w:r>
    </w:p>
    <w:p w:rsidR="00E85D42" w:rsidRDefault="008113B9">
      <w:pPr>
        <w:pStyle w:val="Standarduser"/>
        <w:jc w:val="right"/>
      </w:pPr>
      <w:r>
        <w:t>Таблица 3.6.13.3</w:t>
      </w:r>
    </w:p>
    <w:tbl>
      <w:tblPr>
        <w:tblW w:w="5000" w:type="pct"/>
        <w:tblLayout w:type="fixed"/>
        <w:tblCellMar>
          <w:left w:w="10" w:type="dxa"/>
          <w:right w:w="10" w:type="dxa"/>
        </w:tblCellMar>
        <w:tblLook w:val="04A0" w:firstRow="1" w:lastRow="0" w:firstColumn="1" w:lastColumn="0" w:noHBand="0" w:noVBand="1"/>
      </w:tblPr>
      <w:tblGrid>
        <w:gridCol w:w="2845"/>
        <w:gridCol w:w="575"/>
        <w:gridCol w:w="4746"/>
        <w:gridCol w:w="1548"/>
      </w:tblGrid>
      <w:tr w:rsidR="00E85D42">
        <w:tblPrEx>
          <w:tblCellMar>
            <w:top w:w="0" w:type="dxa"/>
            <w:bottom w:w="0" w:type="dxa"/>
          </w:tblCellMar>
        </w:tblPrEx>
        <w:trPr>
          <w:trHeight w:val="945"/>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 = 150.28069986423435 * e</w:t>
            </w:r>
            <w:r>
              <w:rPr>
                <w:color w:val="000000"/>
                <w:sz w:val="18"/>
                <w:szCs w:val="18"/>
                <w:vertAlign w:val="superscript"/>
              </w:rPr>
              <w:t xml:space="preserve">0.6183658891798127 * </w:t>
            </w:r>
            <w:r>
              <w:rPr>
                <w:color w:val="000000"/>
                <w:sz w:val="18"/>
                <w:szCs w:val="18"/>
                <w:vertAlign w:val="superscript"/>
                <w:lang w:val="en-US"/>
              </w:rPr>
              <w:t>F</w:t>
            </w:r>
            <w:r>
              <w:rPr>
                <w:color w:val="000000"/>
                <w:sz w:val="18"/>
                <w:szCs w:val="18"/>
                <w:vertAlign w:val="superscript"/>
              </w:rPr>
              <w:t xml:space="preserve">1 -0.036545957646200666 * </w:t>
            </w:r>
            <w:r>
              <w:rPr>
                <w:color w:val="000000"/>
                <w:sz w:val="18"/>
                <w:szCs w:val="18"/>
                <w:vertAlign w:val="superscript"/>
                <w:lang w:val="en-US"/>
              </w:rPr>
              <w:t>F</w:t>
            </w:r>
            <w:r>
              <w:rPr>
                <w:color w:val="000000"/>
                <w:sz w:val="18"/>
                <w:szCs w:val="18"/>
                <w:vertAlign w:val="superscript"/>
              </w:rPr>
              <w:t xml:space="preserve">2 + </w:t>
            </w:r>
            <w:r>
              <w:rPr>
                <w:color w:val="000000"/>
                <w:sz w:val="18"/>
                <w:szCs w:val="18"/>
                <w:vertAlign w:val="superscript"/>
              </w:rPr>
              <w:t xml:space="preserve">0.0011007280924488771 * </w:t>
            </w:r>
            <w:r>
              <w:rPr>
                <w:color w:val="000000"/>
                <w:sz w:val="18"/>
                <w:szCs w:val="18"/>
                <w:vertAlign w:val="superscript"/>
                <w:lang w:val="en-US"/>
              </w:rPr>
              <w:t>F</w:t>
            </w:r>
            <w:r>
              <w:rPr>
                <w:color w:val="000000"/>
                <w:sz w:val="18"/>
                <w:szCs w:val="18"/>
                <w:vertAlign w:val="superscript"/>
              </w:rPr>
              <w:t xml:space="preserve">3 + 0.1666754238501832 * </w:t>
            </w:r>
            <w:r>
              <w:rPr>
                <w:color w:val="000000"/>
                <w:sz w:val="18"/>
                <w:szCs w:val="18"/>
                <w:vertAlign w:val="superscript"/>
                <w:lang w:val="en-US"/>
              </w:rPr>
              <w:t>F</w:t>
            </w:r>
            <w:r>
              <w:rPr>
                <w:color w:val="000000"/>
                <w:sz w:val="18"/>
                <w:szCs w:val="18"/>
                <w:vertAlign w:val="superscript"/>
              </w:rPr>
              <w:t>4</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33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Расстояние до административного центра</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shd w:val="clear" w:color="auto" w:fill="F4F7FA"/>
              </w:rPr>
              <w:t>2373.492710526316 / (904.7454 + </w:t>
            </w:r>
            <w:r>
              <w:rPr>
                <w:b/>
                <w:bCs/>
                <w:color w:val="212529"/>
                <w:shd w:val="clear" w:color="auto" w:fill="F4F7FA"/>
              </w:rPr>
              <w:t>X</w:t>
            </w:r>
            <w:r>
              <w:rPr>
                <w:b/>
                <w:bCs/>
                <w:color w:val="212529"/>
                <w:sz w:val="18"/>
                <w:szCs w:val="18"/>
                <w:shd w:val="clear" w:color="auto" w:fill="F4F7FA"/>
                <w:vertAlign w:val="subscript"/>
              </w:rPr>
              <w:t>0</w:t>
            </w:r>
            <w:r>
              <w:rPr>
                <w:color w:val="212529"/>
                <w:shd w:val="clear" w:color="auto" w:fill="F4F7FA"/>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0.78</w:t>
            </w:r>
          </w:p>
        </w:tc>
      </w:tr>
      <w:tr w:rsidR="00E85D42">
        <w:tblPrEx>
          <w:tblCellMar>
            <w:top w:w="0" w:type="dxa"/>
            <w:bottom w:w="0" w:type="dxa"/>
          </w:tblCellMar>
        </w:tblPrEx>
        <w:trPr>
          <w:trHeight w:val="315"/>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Расстояние до объектов социальной инфраструктуры</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rPr>
              <w:t>897.7215789473685 / (654.318 + </w:t>
            </w:r>
            <w:r>
              <w:rPr>
                <w:b/>
                <w:bCs/>
                <w:color w:val="212529"/>
              </w:rPr>
              <w:t>X</w:t>
            </w:r>
            <w:r>
              <w:rPr>
                <w:b/>
                <w:bCs/>
                <w:color w:val="212529"/>
                <w:sz w:val="18"/>
                <w:szCs w:val="18"/>
                <w:vertAlign w:val="subscript"/>
              </w:rPr>
              <w:t>1</w:t>
            </w:r>
            <w:r>
              <w:rPr>
                <w:color w:val="212529"/>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0.52</w:t>
            </w:r>
          </w:p>
        </w:tc>
      </w:tr>
      <w:tr w:rsidR="00E85D42">
        <w:tblPrEx>
          <w:tblCellMar>
            <w:top w:w="0" w:type="dxa"/>
            <w:bottom w:w="0" w:type="dxa"/>
          </w:tblCellMar>
        </w:tblPrEx>
        <w:trPr>
          <w:trHeight w:val="30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 xml:space="preserve">Расстояние до </w:t>
            </w:r>
            <w:r>
              <w:rPr>
                <w:color w:val="000000"/>
              </w:rPr>
              <w:t>остановок общественного транспорта</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F3</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rPr>
              <w:t>551.556754385965 / (566.1800000000001 + </w:t>
            </w:r>
            <w:r>
              <w:rPr>
                <w:b/>
                <w:bCs/>
                <w:color w:val="212529"/>
              </w:rPr>
              <w:t>X</w:t>
            </w:r>
            <w:r>
              <w:rPr>
                <w:b/>
                <w:bCs/>
                <w:color w:val="212529"/>
                <w:sz w:val="18"/>
                <w:szCs w:val="18"/>
                <w:vertAlign w:val="subscript"/>
              </w:rPr>
              <w:t>2</w:t>
            </w:r>
            <w:r>
              <w:rPr>
                <w:color w:val="212529"/>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0.43</w:t>
            </w:r>
          </w:p>
        </w:tc>
      </w:tr>
      <w:tr w:rsidR="00E85D42">
        <w:tblPrEx>
          <w:tblCellMar>
            <w:top w:w="0" w:type="dxa"/>
            <w:bottom w:w="0" w:type="dxa"/>
          </w:tblCellMar>
        </w:tblPrEx>
        <w:trPr>
          <w:trHeight w:val="30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Численность населения в населенном пункте</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F4</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shd w:val="clear" w:color="auto" w:fill="F4F7FA"/>
              </w:rPr>
              <w:t>(17137.600000000002 + </w:t>
            </w:r>
            <w:r>
              <w:rPr>
                <w:b/>
                <w:bCs/>
                <w:color w:val="212529"/>
                <w:shd w:val="clear" w:color="auto" w:fill="F4F7FA"/>
              </w:rPr>
              <w:t>X</w:t>
            </w:r>
            <w:r>
              <w:rPr>
                <w:b/>
                <w:bCs/>
                <w:color w:val="212529"/>
                <w:sz w:val="18"/>
                <w:szCs w:val="18"/>
                <w:shd w:val="clear" w:color="auto" w:fill="F4F7FA"/>
                <w:vertAlign w:val="subscript"/>
              </w:rPr>
              <w:t>3</w:t>
            </w:r>
            <w:r>
              <w:rPr>
                <w:color w:val="212529"/>
                <w:shd w:val="clear" w:color="auto" w:fill="F4F7FA"/>
              </w:rPr>
              <w:t>) / 40654.728070175435</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w:t>
            </w:r>
          </w:p>
        </w:tc>
      </w:tr>
    </w:tbl>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3.6.13.4</w:t>
      </w:r>
    </w:p>
    <w:tbl>
      <w:tblPr>
        <w:tblW w:w="9528" w:type="dxa"/>
        <w:tblCellMar>
          <w:left w:w="10" w:type="dxa"/>
          <w:right w:w="10" w:type="dxa"/>
        </w:tblCellMar>
        <w:tblLook w:val="04A0" w:firstRow="1" w:lastRow="0" w:firstColumn="1" w:lastColumn="0" w:noHBand="0" w:noVBand="1"/>
      </w:tblPr>
      <w:tblGrid>
        <w:gridCol w:w="1737"/>
        <w:gridCol w:w="1023"/>
        <w:gridCol w:w="1050"/>
        <w:gridCol w:w="1137"/>
        <w:gridCol w:w="1076"/>
        <w:gridCol w:w="1166"/>
        <w:gridCol w:w="1123"/>
        <w:gridCol w:w="1216"/>
      </w:tblGrid>
      <w:tr w:rsidR="00E85D42">
        <w:tblPrEx>
          <w:tblCellMar>
            <w:top w:w="0" w:type="dxa"/>
            <w:bottom w:w="0" w:type="dxa"/>
          </w:tblCellMar>
        </w:tblPrEx>
        <w:trPr>
          <w:tblHeader/>
        </w:trPr>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7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6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25.94054</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0.46418</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-0.23777</w:t>
            </w:r>
          </w:p>
        </w:tc>
        <w:tc>
          <w:tcPr>
            <w:tcW w:w="107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0.70763</w:t>
            </w:r>
          </w:p>
        </w:tc>
        <w:tc>
          <w:tcPr>
            <w:tcW w:w="116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0.66022</w:t>
            </w:r>
          </w:p>
        </w:tc>
        <w:tc>
          <w:tcPr>
            <w:tcW w:w="11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0.1127</w:t>
            </w:r>
          </w:p>
        </w:tc>
        <w:tc>
          <w:tcPr>
            <w:tcW w:w="121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0.13027</w:t>
            </w:r>
          </w:p>
        </w:tc>
      </w:tr>
    </w:tbl>
    <w:p w:rsidR="00E85D42" w:rsidRDefault="008113B9">
      <w:pPr>
        <w:pStyle w:val="Standarduser"/>
        <w:tabs>
          <w:tab w:val="left" w:pos="1134"/>
        </w:tabs>
        <w:spacing w:before="120" w:line="288" w:lineRule="auto"/>
        <w:jc w:val="both"/>
        <w:rPr>
          <w:b/>
        </w:rPr>
      </w:pPr>
      <w:r>
        <w:rPr>
          <w:b/>
        </w:rPr>
        <w:t>Земельные участки, предназначенные для размещения домов индивидуальной жилой застройки в г. Уфа:</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pStyle w:val="Standarduser"/>
        <w:tabs>
          <w:tab w:val="left" w:pos="1134"/>
          <w:tab w:val="left" w:pos="1701"/>
        </w:tabs>
        <w:spacing w:line="288" w:lineRule="auto"/>
        <w:jc w:val="both"/>
        <w:rPr>
          <w:sz w:val="20"/>
          <w:szCs w:val="20"/>
        </w:rPr>
      </w:pPr>
      <w:r>
        <w:rPr>
          <w:sz w:val="20"/>
          <w:szCs w:val="20"/>
        </w:rPr>
        <w:t xml:space="preserve">УПКС = 393.0436412281404 * e^(0.3242582523347355*Расстояние до остановок общественного </w:t>
      </w:r>
      <w:r>
        <w:rPr>
          <w:sz w:val="20"/>
          <w:szCs w:val="20"/>
        </w:rPr>
        <w:t>транспорта+0.20990067789754596*Расстояние до объектов социальной инфраструктуры+0.6235042981684287*Расстояние до общественно-делового центра)</w:t>
      </w:r>
      <w:r>
        <w:rPr>
          <w:sz w:val="20"/>
          <w:szCs w:val="20"/>
        </w:rPr>
        <w:tab/>
      </w:r>
    </w:p>
    <w:p w:rsidR="00E85D42" w:rsidRDefault="008113B9">
      <w:pPr>
        <w:pStyle w:val="Standarduser"/>
        <w:jc w:val="right"/>
      </w:pPr>
      <w:r>
        <w:t>Таблица 3.6.13.5</w:t>
      </w:r>
    </w:p>
    <w:tbl>
      <w:tblPr>
        <w:tblW w:w="5000" w:type="pct"/>
        <w:tblLayout w:type="fixed"/>
        <w:tblCellMar>
          <w:left w:w="10" w:type="dxa"/>
          <w:right w:w="10" w:type="dxa"/>
        </w:tblCellMar>
        <w:tblLook w:val="04A0" w:firstRow="1" w:lastRow="0" w:firstColumn="1" w:lastColumn="0" w:noHBand="0" w:noVBand="1"/>
      </w:tblPr>
      <w:tblGrid>
        <w:gridCol w:w="2845"/>
        <w:gridCol w:w="575"/>
        <w:gridCol w:w="4746"/>
        <w:gridCol w:w="1548"/>
      </w:tblGrid>
      <w:tr w:rsidR="00E85D42">
        <w:tblPrEx>
          <w:tblCellMar>
            <w:top w:w="0" w:type="dxa"/>
            <w:bottom w:w="0" w:type="dxa"/>
          </w:tblCellMar>
        </w:tblPrEx>
        <w:trPr>
          <w:trHeight w:val="54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74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w:t>
            </w:r>
            <w:r>
              <w:rPr>
                <w:sz w:val="18"/>
                <w:szCs w:val="18"/>
              </w:rPr>
              <w:t>=</w:t>
            </w:r>
            <w:r>
              <w:rPr>
                <w:color w:val="212529"/>
                <w:sz w:val="18"/>
                <w:szCs w:val="18"/>
              </w:rPr>
              <w:t>393.0436412281404 * e</w:t>
            </w:r>
            <w:r>
              <w:rPr>
                <w:color w:val="212529"/>
                <w:sz w:val="18"/>
                <w:szCs w:val="18"/>
                <w:vertAlign w:val="superscript"/>
              </w:rPr>
              <w:t>(0.6235042981684287 * </w:t>
            </w:r>
            <w:r>
              <w:rPr>
                <w:color w:val="000000"/>
                <w:sz w:val="18"/>
                <w:szCs w:val="18"/>
                <w:vertAlign w:val="superscript"/>
              </w:rPr>
              <w:t>F1</w:t>
            </w:r>
            <w:r>
              <w:rPr>
                <w:color w:val="212529"/>
                <w:sz w:val="18"/>
                <w:szCs w:val="18"/>
                <w:vertAlign w:val="superscript"/>
              </w:rPr>
              <w:t xml:space="preserve"> + </w:t>
            </w:r>
            <w:r>
              <w:rPr>
                <w:color w:val="212529"/>
                <w:sz w:val="18"/>
                <w:szCs w:val="18"/>
                <w:vertAlign w:val="superscript"/>
              </w:rPr>
              <w:t>0.20990067789754596 * </w:t>
            </w:r>
            <w:r>
              <w:rPr>
                <w:color w:val="000000"/>
                <w:sz w:val="18"/>
                <w:szCs w:val="18"/>
                <w:vertAlign w:val="superscript"/>
              </w:rPr>
              <w:t>F2</w:t>
            </w:r>
            <w:r>
              <w:rPr>
                <w:color w:val="212529"/>
                <w:sz w:val="18"/>
                <w:szCs w:val="18"/>
                <w:vertAlign w:val="superscript"/>
              </w:rPr>
              <w:t> + 0.3242582523347355 * </w:t>
            </w:r>
            <w:r>
              <w:rPr>
                <w:color w:val="000000"/>
                <w:sz w:val="18"/>
                <w:szCs w:val="18"/>
                <w:vertAlign w:val="superscript"/>
              </w:rPr>
              <w:t>F3</w:t>
            </w:r>
            <w:r>
              <w:rPr>
                <w:bCs/>
                <w:color w:val="212529"/>
                <w:sz w:val="18"/>
                <w:szCs w:val="18"/>
                <w:vertAlign w:val="superscript"/>
              </w:rPr>
              <w:t>)</w:t>
            </w:r>
          </w:p>
        </w:tc>
        <w:tc>
          <w:tcPr>
            <w:tcW w:w="154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540"/>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Расстояние до общественно-делового центра</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74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4658.856585365854 / (2585.7780000000002 + X0)</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0.82</w:t>
            </w:r>
          </w:p>
        </w:tc>
      </w:tr>
      <w:tr w:rsidR="00E85D42">
        <w:tblPrEx>
          <w:tblCellMar>
            <w:top w:w="0" w:type="dxa"/>
            <w:bottom w:w="0" w:type="dxa"/>
          </w:tblCellMar>
        </w:tblPrEx>
        <w:trPr>
          <w:trHeight w:val="525"/>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Расстояние до объектов социальной инфраструктуры</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74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3663.4463414634147 / (2736.076 + X1)</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0.3</w:t>
            </w:r>
          </w:p>
        </w:tc>
      </w:tr>
      <w:tr w:rsidR="00E85D42">
        <w:tblPrEx>
          <w:tblCellMar>
            <w:top w:w="0" w:type="dxa"/>
            <w:bottom w:w="0" w:type="dxa"/>
          </w:tblCellMar>
        </w:tblPrEx>
        <w:trPr>
          <w:trHeight w:val="300"/>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Расстояние до остановок общественного транспорта</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F3</w:t>
            </w:r>
          </w:p>
        </w:tc>
        <w:tc>
          <w:tcPr>
            <w:tcW w:w="474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1104.3826829268291 / (709.8180000000001 + X2)</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0.6</w:t>
            </w:r>
          </w:p>
        </w:tc>
      </w:tr>
    </w:tbl>
    <w:p w:rsidR="00E85D42" w:rsidRDefault="00E85D42">
      <w:pPr>
        <w:pStyle w:val="Standarduser"/>
        <w:jc w:val="both"/>
        <w:rPr>
          <w:lang w:val="en-US"/>
        </w:rPr>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3.6.13.6</w:t>
      </w:r>
    </w:p>
    <w:tbl>
      <w:tblPr>
        <w:tblW w:w="5000" w:type="pct"/>
        <w:tblCellMar>
          <w:left w:w="10" w:type="dxa"/>
          <w:right w:w="10" w:type="dxa"/>
        </w:tblCellMar>
        <w:tblLook w:val="04A0" w:firstRow="1" w:lastRow="0" w:firstColumn="1" w:lastColumn="0" w:noHBand="0" w:noVBand="1"/>
      </w:tblPr>
      <w:tblGrid>
        <w:gridCol w:w="1726"/>
        <w:gridCol w:w="1047"/>
        <w:gridCol w:w="1113"/>
        <w:gridCol w:w="1181"/>
        <w:gridCol w:w="1150"/>
        <w:gridCol w:w="1181"/>
        <w:gridCol w:w="1135"/>
        <w:gridCol w:w="1181"/>
      </w:tblGrid>
      <w:tr w:rsidR="00E85D42">
        <w:tblPrEx>
          <w:tblCellMar>
            <w:top w:w="0" w:type="dxa"/>
            <w:bottom w:w="0" w:type="dxa"/>
          </w:tblCellMar>
        </w:tblPrEx>
        <w:trPr>
          <w:trHeight w:val="645"/>
        </w:trPr>
        <w:tc>
          <w:tcPr>
            <w:tcW w:w="1726" w:type="dxa"/>
            <w:tcBorders>
              <w:top w:val="single" w:sz="4" w:space="0" w:color="000000"/>
              <w:left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Функция</w:t>
            </w:r>
          </w:p>
        </w:tc>
        <w:tc>
          <w:tcPr>
            <w:tcW w:w="1047" w:type="dxa"/>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F-критерий Фишера</w:t>
            </w:r>
          </w:p>
        </w:tc>
        <w:tc>
          <w:tcPr>
            <w:tcW w:w="2294" w:type="dxa"/>
            <w:gridSpan w:val="2"/>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Т-критерий Стьюдента</w:t>
            </w:r>
          </w:p>
        </w:tc>
        <w:tc>
          <w:tcPr>
            <w:tcW w:w="2331" w:type="dxa"/>
            <w:gridSpan w:val="2"/>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Коэффициент детерминации</w:t>
            </w:r>
          </w:p>
        </w:tc>
        <w:tc>
          <w:tcPr>
            <w:tcW w:w="2316" w:type="dxa"/>
            <w:gridSpan w:val="2"/>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 xml:space="preserve">Средняя </w:t>
            </w:r>
            <w:r>
              <w:rPr>
                <w:b/>
                <w:bCs/>
                <w:color w:val="212529"/>
                <w:sz w:val="15"/>
                <w:szCs w:val="15"/>
              </w:rPr>
              <w:t>относительная погрешность</w:t>
            </w:r>
          </w:p>
        </w:tc>
      </w:tr>
      <w:tr w:rsidR="00E85D42">
        <w:tblPrEx>
          <w:tblCellMar>
            <w:top w:w="0" w:type="dxa"/>
            <w:bottom w:w="0" w:type="dxa"/>
          </w:tblCellMar>
        </w:tblPrEx>
        <w:trPr>
          <w:trHeight w:val="495"/>
        </w:trPr>
        <w:tc>
          <w:tcPr>
            <w:tcW w:w="1726" w:type="dxa"/>
            <w:tcBorders>
              <w:left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Выборка</w:t>
            </w:r>
          </w:p>
        </w:tc>
        <w:tc>
          <w:tcPr>
            <w:tcW w:w="1047"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 </w:t>
            </w:r>
          </w:p>
        </w:tc>
        <w:tc>
          <w:tcPr>
            <w:tcW w:w="1113"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Обучающая</w:t>
            </w:r>
          </w:p>
        </w:tc>
        <w:tc>
          <w:tcPr>
            <w:tcW w:w="1181"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Контрольная</w:t>
            </w:r>
          </w:p>
        </w:tc>
        <w:tc>
          <w:tcPr>
            <w:tcW w:w="1150"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Обучающая</w:t>
            </w:r>
          </w:p>
        </w:tc>
        <w:tc>
          <w:tcPr>
            <w:tcW w:w="1181"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Контрольная</w:t>
            </w:r>
          </w:p>
        </w:tc>
        <w:tc>
          <w:tcPr>
            <w:tcW w:w="1135"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Обучающая</w:t>
            </w:r>
          </w:p>
        </w:tc>
        <w:tc>
          <w:tcPr>
            <w:tcW w:w="1181"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Контрольная</w:t>
            </w:r>
          </w:p>
        </w:tc>
      </w:tr>
      <w:tr w:rsidR="00E85D42">
        <w:tblPrEx>
          <w:tblCellMar>
            <w:top w:w="0" w:type="dxa"/>
            <w:bottom w:w="0" w:type="dxa"/>
          </w:tblCellMar>
        </w:tblPrEx>
        <w:trPr>
          <w:trHeight w:val="495"/>
        </w:trPr>
        <w:tc>
          <w:tcPr>
            <w:tcW w:w="1726" w:type="dxa"/>
            <w:tcBorders>
              <w:left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right"/>
              <w:rPr>
                <w:color w:val="212529"/>
                <w:sz w:val="15"/>
                <w:szCs w:val="15"/>
              </w:rPr>
            </w:pPr>
            <w:r>
              <w:rPr>
                <w:color w:val="212529"/>
                <w:sz w:val="15"/>
                <w:szCs w:val="15"/>
              </w:rPr>
              <w:t xml:space="preserve">Экспоненциальная </w:t>
            </w:r>
          </w:p>
        </w:tc>
        <w:tc>
          <w:tcPr>
            <w:tcW w:w="1047"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sz w:val="15"/>
                <w:szCs w:val="15"/>
              </w:rPr>
            </w:pPr>
            <w:r>
              <w:rPr>
                <w:sz w:val="15"/>
                <w:szCs w:val="15"/>
              </w:rPr>
              <w:t>36.09544</w:t>
            </w:r>
          </w:p>
        </w:tc>
        <w:tc>
          <w:tcPr>
            <w:tcW w:w="1113"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sz w:val="15"/>
                <w:szCs w:val="15"/>
              </w:rPr>
            </w:pPr>
            <w:r>
              <w:rPr>
                <w:sz w:val="15"/>
                <w:szCs w:val="15"/>
              </w:rPr>
              <w:t>0.67901</w:t>
            </w:r>
          </w:p>
        </w:tc>
        <w:tc>
          <w:tcPr>
            <w:tcW w:w="1181"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sz w:val="15"/>
                <w:szCs w:val="15"/>
              </w:rPr>
            </w:pPr>
            <w:r>
              <w:rPr>
                <w:sz w:val="15"/>
                <w:szCs w:val="15"/>
              </w:rPr>
              <w:t>0.7368</w:t>
            </w:r>
          </w:p>
        </w:tc>
        <w:tc>
          <w:tcPr>
            <w:tcW w:w="1150"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sz w:val="15"/>
                <w:szCs w:val="15"/>
              </w:rPr>
            </w:pPr>
            <w:r>
              <w:rPr>
                <w:sz w:val="15"/>
                <w:szCs w:val="15"/>
              </w:rPr>
              <w:t>0.78408</w:t>
            </w:r>
          </w:p>
        </w:tc>
        <w:tc>
          <w:tcPr>
            <w:tcW w:w="1181"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sz w:val="15"/>
                <w:szCs w:val="15"/>
              </w:rPr>
            </w:pPr>
            <w:r>
              <w:rPr>
                <w:sz w:val="15"/>
                <w:szCs w:val="15"/>
              </w:rPr>
              <w:t>0.83418</w:t>
            </w:r>
          </w:p>
        </w:tc>
        <w:tc>
          <w:tcPr>
            <w:tcW w:w="1135"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sz w:val="15"/>
                <w:szCs w:val="15"/>
              </w:rPr>
            </w:pPr>
            <w:r>
              <w:rPr>
                <w:sz w:val="15"/>
                <w:szCs w:val="15"/>
              </w:rPr>
              <w:t>0.15464</w:t>
            </w:r>
          </w:p>
        </w:tc>
        <w:tc>
          <w:tcPr>
            <w:tcW w:w="1181"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sz w:val="15"/>
                <w:szCs w:val="15"/>
              </w:rPr>
            </w:pPr>
            <w:r>
              <w:rPr>
                <w:sz w:val="15"/>
                <w:szCs w:val="15"/>
              </w:rPr>
              <w:t>0.15815</w:t>
            </w:r>
          </w:p>
        </w:tc>
      </w:tr>
    </w:tbl>
    <w:p w:rsidR="00E85D42" w:rsidRDefault="008113B9">
      <w:pPr>
        <w:pStyle w:val="Standarduser"/>
        <w:tabs>
          <w:tab w:val="left" w:pos="1134"/>
        </w:tabs>
        <w:spacing w:before="120" w:line="288" w:lineRule="auto"/>
        <w:jc w:val="both"/>
        <w:rPr>
          <w:b/>
        </w:rPr>
      </w:pPr>
      <w:r>
        <w:rPr>
          <w:b/>
        </w:rPr>
        <w:t xml:space="preserve">Земельные участки, предназначенные для размещения домов индивидуальной жилой </w:t>
      </w:r>
      <w:r>
        <w:rPr>
          <w:b/>
        </w:rPr>
        <w:t>застройки в сельских НП (Центры МР):</w:t>
      </w:r>
    </w:p>
    <w:p w:rsidR="00E85D42" w:rsidRDefault="008113B9">
      <w:pPr>
        <w:pStyle w:val="Standarduser"/>
        <w:tabs>
          <w:tab w:val="left" w:pos="1134"/>
          <w:tab w:val="left" w:pos="1701"/>
        </w:tabs>
        <w:spacing w:line="288" w:lineRule="auto"/>
        <w:ind w:firstLine="720"/>
        <w:jc w:val="both"/>
      </w:pPr>
      <w:r>
        <w:t xml:space="preserve">Для расчета выбрана </w:t>
      </w:r>
      <w:r>
        <w:rPr>
          <w:b/>
        </w:rPr>
        <w:t>экспоненциальная модель.</w:t>
      </w:r>
    </w:p>
    <w:p w:rsidR="00E85D42" w:rsidRDefault="008113B9">
      <w:pPr>
        <w:pStyle w:val="Standarduser"/>
        <w:tabs>
          <w:tab w:val="left" w:pos="1134"/>
          <w:tab w:val="left" w:pos="1701"/>
        </w:tabs>
        <w:spacing w:line="288" w:lineRule="auto"/>
        <w:jc w:val="both"/>
        <w:rPr>
          <w:sz w:val="20"/>
          <w:szCs w:val="20"/>
        </w:rPr>
      </w:pPr>
      <w:r>
        <w:rPr>
          <w:sz w:val="20"/>
          <w:szCs w:val="20"/>
        </w:rPr>
        <w:t xml:space="preserve">УПКС = 46.98932068046523 * e^(1.3187765887022354*Расстояние от НП до столицы субъекта РФ+0.14100741897585553*Численность населения в населенном </w:t>
      </w:r>
      <w:r>
        <w:rPr>
          <w:sz w:val="20"/>
          <w:szCs w:val="20"/>
        </w:rPr>
        <w:t>пункте-0.03427908697471155*Среднемесячная заработная плата в муниципальном районе, городском округе+0.18253002553507625*Численность населения в МР, ГО)</w:t>
      </w:r>
      <w:r>
        <w:rPr>
          <w:sz w:val="20"/>
          <w:szCs w:val="20"/>
        </w:rPr>
        <w:tab/>
      </w:r>
      <w:r>
        <w:rPr>
          <w:sz w:val="20"/>
          <w:szCs w:val="20"/>
        </w:rPr>
        <w:tab/>
      </w:r>
      <w:r>
        <w:rPr>
          <w:sz w:val="20"/>
          <w:szCs w:val="20"/>
        </w:rPr>
        <w:tab/>
      </w:r>
    </w:p>
    <w:p w:rsidR="00E85D42" w:rsidRDefault="008113B9">
      <w:pPr>
        <w:pStyle w:val="Standarduser"/>
        <w:jc w:val="right"/>
      </w:pPr>
      <w:r>
        <w:t>Таблица 3.6.13.7</w:t>
      </w:r>
    </w:p>
    <w:tbl>
      <w:tblPr>
        <w:tblW w:w="5000" w:type="pct"/>
        <w:tblLayout w:type="fixed"/>
        <w:tblCellMar>
          <w:left w:w="10" w:type="dxa"/>
          <w:right w:w="10" w:type="dxa"/>
        </w:tblCellMar>
        <w:tblLook w:val="04A0" w:firstRow="1" w:lastRow="0" w:firstColumn="1" w:lastColumn="0" w:noHBand="0" w:noVBand="1"/>
      </w:tblPr>
      <w:tblGrid>
        <w:gridCol w:w="2844"/>
        <w:gridCol w:w="575"/>
        <w:gridCol w:w="4892"/>
        <w:gridCol w:w="1403"/>
      </w:tblGrid>
      <w:tr w:rsidR="00E85D42">
        <w:tblPrEx>
          <w:tblCellMar>
            <w:top w:w="0" w:type="dxa"/>
            <w:bottom w:w="0" w:type="dxa"/>
          </w:tblCellMar>
        </w:tblPrEx>
        <w:trPr>
          <w:trHeight w:val="645"/>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0"/>
                <w:szCs w:val="20"/>
              </w:rPr>
            </w:pPr>
            <w:r>
              <w:rPr>
                <w:sz w:val="20"/>
                <w:szCs w:val="20"/>
              </w:rPr>
              <w:t>Формула для расчета</w:t>
            </w:r>
          </w:p>
          <w:p w:rsidR="00E85D42" w:rsidRDefault="008113B9">
            <w:pPr>
              <w:pStyle w:val="5"/>
              <w:shd w:val="clear" w:color="auto" w:fill="FFFFFF"/>
              <w:spacing w:before="0"/>
            </w:pPr>
            <w:r>
              <w:rPr>
                <w:rFonts w:ascii="Times New Roman" w:hAnsi="Times New Roman"/>
                <w:color w:val="212529"/>
                <w:sz w:val="20"/>
                <w:szCs w:val="20"/>
                <w:u w:val="none"/>
              </w:rPr>
              <w:t>Y</w:t>
            </w:r>
            <w:r>
              <w:rPr>
                <w:rFonts w:ascii="Times New Roman" w:hAnsi="Times New Roman"/>
                <w:b w:val="0"/>
                <w:bCs/>
                <w:color w:val="212529"/>
                <w:sz w:val="20"/>
                <w:szCs w:val="20"/>
                <w:u w:val="none"/>
              </w:rPr>
              <w:t> = 46.98932068046523 * e</w:t>
            </w:r>
            <w:r>
              <w:rPr>
                <w:rFonts w:ascii="Times New Roman" w:hAnsi="Times New Roman"/>
                <w:b w:val="0"/>
                <w:bCs/>
                <w:color w:val="212529"/>
                <w:sz w:val="20"/>
                <w:szCs w:val="20"/>
                <w:u w:val="none"/>
                <w:vertAlign w:val="superscript"/>
              </w:rPr>
              <w:t>1.3187765887022354 * </w:t>
            </w:r>
            <w:r>
              <w:rPr>
                <w:rFonts w:ascii="Times New Roman" w:hAnsi="Times New Roman"/>
                <w:color w:val="212529"/>
                <w:sz w:val="20"/>
                <w:szCs w:val="20"/>
                <w:u w:val="none"/>
                <w:vertAlign w:val="superscript"/>
                <w:lang w:val="en-US"/>
              </w:rPr>
              <w:t>F</w:t>
            </w:r>
            <w:r>
              <w:rPr>
                <w:rFonts w:ascii="Times New Roman" w:hAnsi="Times New Roman"/>
                <w:color w:val="212529"/>
                <w:sz w:val="20"/>
                <w:szCs w:val="20"/>
                <w:u w:val="none"/>
                <w:vertAlign w:val="superscript"/>
              </w:rPr>
              <w:t>1</w:t>
            </w:r>
            <w:r>
              <w:rPr>
                <w:rFonts w:ascii="Times New Roman" w:hAnsi="Times New Roman"/>
                <w:b w:val="0"/>
                <w:bCs/>
                <w:color w:val="212529"/>
                <w:sz w:val="20"/>
                <w:szCs w:val="20"/>
                <w:u w:val="none"/>
                <w:vertAlign w:val="superscript"/>
              </w:rPr>
              <w:t> -0.03427908697471155 * </w:t>
            </w:r>
            <w:r>
              <w:rPr>
                <w:rFonts w:ascii="Times New Roman" w:hAnsi="Times New Roman"/>
                <w:color w:val="212529"/>
                <w:sz w:val="20"/>
                <w:szCs w:val="20"/>
                <w:u w:val="none"/>
                <w:vertAlign w:val="superscript"/>
                <w:lang w:val="en-US"/>
              </w:rPr>
              <w:t>F</w:t>
            </w:r>
            <w:r>
              <w:rPr>
                <w:rFonts w:ascii="Times New Roman" w:hAnsi="Times New Roman"/>
                <w:color w:val="212529"/>
                <w:sz w:val="20"/>
                <w:szCs w:val="20"/>
                <w:u w:val="none"/>
                <w:vertAlign w:val="superscript"/>
              </w:rPr>
              <w:t>2</w:t>
            </w:r>
            <w:r>
              <w:rPr>
                <w:rFonts w:ascii="Times New Roman" w:hAnsi="Times New Roman"/>
                <w:b w:val="0"/>
                <w:bCs/>
                <w:color w:val="212529"/>
                <w:sz w:val="20"/>
                <w:szCs w:val="20"/>
                <w:u w:val="none"/>
                <w:vertAlign w:val="superscript"/>
              </w:rPr>
              <w:t> + 0.18253002553507625 * </w:t>
            </w:r>
            <w:r>
              <w:rPr>
                <w:rFonts w:ascii="Times New Roman" w:hAnsi="Times New Roman"/>
                <w:color w:val="212529"/>
                <w:sz w:val="20"/>
                <w:szCs w:val="20"/>
                <w:u w:val="none"/>
                <w:vertAlign w:val="superscript"/>
                <w:lang w:val="en-US"/>
              </w:rPr>
              <w:t>F</w:t>
            </w:r>
            <w:r>
              <w:rPr>
                <w:rFonts w:ascii="Times New Roman" w:hAnsi="Times New Roman"/>
                <w:color w:val="212529"/>
                <w:sz w:val="20"/>
                <w:szCs w:val="20"/>
                <w:u w:val="none"/>
                <w:vertAlign w:val="superscript"/>
              </w:rPr>
              <w:t>3</w:t>
            </w:r>
            <w:r>
              <w:rPr>
                <w:rFonts w:ascii="Times New Roman" w:hAnsi="Times New Roman"/>
                <w:b w:val="0"/>
                <w:bCs/>
                <w:color w:val="212529"/>
                <w:sz w:val="20"/>
                <w:szCs w:val="20"/>
                <w:u w:val="none"/>
                <w:vertAlign w:val="superscript"/>
              </w:rPr>
              <w:t> + 0.14100741897585553 * </w:t>
            </w:r>
            <w:r>
              <w:rPr>
                <w:rFonts w:ascii="Times New Roman" w:hAnsi="Times New Roman"/>
                <w:color w:val="212529"/>
                <w:sz w:val="20"/>
                <w:szCs w:val="20"/>
                <w:u w:val="none"/>
                <w:vertAlign w:val="superscript"/>
                <w:lang w:val="en-US"/>
              </w:rPr>
              <w:t>F</w:t>
            </w:r>
            <w:r>
              <w:rPr>
                <w:rFonts w:ascii="Times New Roman" w:hAnsi="Times New Roman"/>
                <w:color w:val="212529"/>
                <w:sz w:val="20"/>
                <w:szCs w:val="20"/>
                <w:u w:val="none"/>
                <w:vertAlign w:val="superscript"/>
              </w:rPr>
              <w:t>4</w:t>
            </w:r>
          </w:p>
          <w:p w:rsidR="00E85D42" w:rsidRDefault="00E85D42">
            <w:pPr>
              <w:jc w:val="center"/>
              <w:rPr>
                <w:color w:val="000000"/>
              </w:rPr>
            </w:pP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315"/>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r>
              <w:rPr>
                <w:color w:val="212529"/>
              </w:rPr>
              <w:t>Расстояние от НП до столицы субъекта РФ </w:t>
            </w:r>
          </w:p>
          <w:p w:rsidR="00E85D42" w:rsidRDefault="00E85D42">
            <w:pPr>
              <w:jc w:val="center"/>
              <w:rPr>
                <w:color w:val="000000"/>
              </w:rPr>
            </w:pP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000000"/>
              </w:rPr>
              <w:t>F</w:t>
            </w:r>
            <w:r>
              <w:rPr>
                <w:color w:val="000000"/>
                <w:lang w:val="en-US"/>
              </w:rPr>
              <w:t>1</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rPr>
              <w:t>153.82467532467533 / (91.60000000000001 + </w:t>
            </w:r>
            <w:r>
              <w:rPr>
                <w:b/>
                <w:bCs/>
                <w:color w:val="212529"/>
              </w:rPr>
              <w:t>X</w:t>
            </w:r>
            <w:r>
              <w:rPr>
                <w:b/>
                <w:bCs/>
                <w:color w:val="212529"/>
                <w:vertAlign w:val="subscript"/>
              </w:rPr>
              <w:t>0</w:t>
            </w:r>
            <w:r>
              <w:rPr>
                <w:color w:val="212529"/>
              </w:rPr>
              <w:t>)</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0,89</w:t>
            </w:r>
          </w:p>
        </w:tc>
      </w:tr>
      <w:tr w:rsidR="00E85D42">
        <w:tblPrEx>
          <w:tblCellMar>
            <w:top w:w="0" w:type="dxa"/>
            <w:bottom w:w="0" w:type="dxa"/>
          </w:tblCellMar>
        </w:tblPrEx>
        <w:trPr>
          <w:trHeight w:val="315"/>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rPr>
              <w:t xml:space="preserve">Среднемесячная заработная плата в </w:t>
            </w:r>
            <w:r>
              <w:rPr>
                <w:color w:val="212529"/>
              </w:rPr>
              <w:t>муниципальном районе, городском округе</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000000"/>
              </w:rPr>
              <w:t>F</w:t>
            </w:r>
            <w:r>
              <w:rPr>
                <w:color w:val="000000"/>
                <w:lang w:val="en-US"/>
              </w:rPr>
              <w:t>2</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rPr>
              <w:t>(9775.14 + </w:t>
            </w:r>
            <w:r>
              <w:rPr>
                <w:b/>
                <w:bCs/>
                <w:color w:val="212529"/>
              </w:rPr>
              <w:t>X</w:t>
            </w:r>
            <w:r>
              <w:rPr>
                <w:b/>
                <w:bCs/>
                <w:color w:val="212529"/>
                <w:vertAlign w:val="subscript"/>
              </w:rPr>
              <w:t>1</w:t>
            </w:r>
            <w:r>
              <w:rPr>
                <w:color w:val="212529"/>
              </w:rPr>
              <w:t>) / 23585.59935064935</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w:t>
            </w:r>
          </w:p>
        </w:tc>
      </w:tr>
      <w:tr w:rsidR="00E85D42">
        <w:tblPrEx>
          <w:tblCellMar>
            <w:top w:w="0" w:type="dxa"/>
            <w:bottom w:w="0" w:type="dxa"/>
          </w:tblCellMar>
        </w:tblPrEx>
        <w:trPr>
          <w:trHeight w:val="315"/>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rPr>
              <w:t>Численность населения в МР, ГО</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000000"/>
              </w:rPr>
              <w:t>F</w:t>
            </w:r>
            <w:r>
              <w:rPr>
                <w:color w:val="000000"/>
                <w:lang w:val="en-US"/>
              </w:rPr>
              <w:t>3</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rPr>
              <w:t>(15543.6 + </w:t>
            </w:r>
            <w:r>
              <w:rPr>
                <w:b/>
                <w:bCs/>
                <w:color w:val="212529"/>
              </w:rPr>
              <w:t>X</w:t>
            </w:r>
            <w:r>
              <w:rPr>
                <w:b/>
                <w:bCs/>
                <w:color w:val="212529"/>
                <w:vertAlign w:val="subscript"/>
              </w:rPr>
              <w:t>2</w:t>
            </w:r>
            <w:r>
              <w:rPr>
                <w:color w:val="212529"/>
              </w:rPr>
              <w:t>) / 24848.136363636364</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0,88</w:t>
            </w:r>
          </w:p>
        </w:tc>
      </w:tr>
      <w:tr w:rsidR="00E85D42">
        <w:tblPrEx>
          <w:tblCellMar>
            <w:top w:w="0" w:type="dxa"/>
            <w:bottom w:w="0" w:type="dxa"/>
          </w:tblCellMar>
        </w:tblPrEx>
        <w:trPr>
          <w:trHeight w:val="300"/>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shd w:val="clear" w:color="auto" w:fill="F4F7FA"/>
              </w:rPr>
              <w:t>Численность населения в населенном пункте </w:t>
            </w:r>
          </w:p>
        </w:tc>
        <w:tc>
          <w:tcPr>
            <w:tcW w:w="5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000000"/>
              </w:rPr>
              <w:t>F</w:t>
            </w:r>
            <w:r>
              <w:rPr>
                <w:color w:val="000000"/>
                <w:lang w:val="en-US"/>
              </w:rPr>
              <w:t>4</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212529"/>
                <w:shd w:val="clear" w:color="auto" w:fill="F4F7FA"/>
              </w:rPr>
              <w:t>(4698.8 + </w:t>
            </w:r>
            <w:r>
              <w:rPr>
                <w:b/>
                <w:bCs/>
                <w:color w:val="212529"/>
                <w:shd w:val="clear" w:color="auto" w:fill="F4F7FA"/>
              </w:rPr>
              <w:t>X</w:t>
            </w:r>
            <w:r>
              <w:rPr>
                <w:b/>
                <w:bCs/>
                <w:color w:val="212529"/>
                <w:shd w:val="clear" w:color="auto" w:fill="F4F7FA"/>
                <w:vertAlign w:val="subscript"/>
              </w:rPr>
              <w:t>3</w:t>
            </w:r>
            <w:r>
              <w:rPr>
                <w:color w:val="212529"/>
                <w:shd w:val="clear" w:color="auto" w:fill="F4F7FA"/>
              </w:rPr>
              <w:t>) / 8303.363636363636</w:t>
            </w:r>
            <w:r>
              <w:rPr>
                <w:color w:val="000000"/>
              </w:rPr>
              <w:t xml:space="preserve"> </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0,73</w:t>
            </w:r>
          </w:p>
        </w:tc>
      </w:tr>
    </w:tbl>
    <w:p w:rsidR="00E85D42" w:rsidRDefault="008113B9">
      <w:pPr>
        <w:pStyle w:val="Standarduser"/>
        <w:jc w:val="both"/>
      </w:pPr>
      <w:r>
        <w:t xml:space="preserve">Далее в </w:t>
      </w:r>
      <w:r>
        <w:t>таблице приведен анализ качества модели:</w:t>
      </w:r>
    </w:p>
    <w:p w:rsidR="00E85D42" w:rsidRDefault="00E85D42">
      <w:pPr>
        <w:pStyle w:val="Standarduser"/>
        <w:jc w:val="both"/>
      </w:pPr>
    </w:p>
    <w:tbl>
      <w:tblPr>
        <w:tblW w:w="9528" w:type="dxa"/>
        <w:tblCellMar>
          <w:left w:w="10" w:type="dxa"/>
          <w:right w:w="10" w:type="dxa"/>
        </w:tblCellMar>
        <w:tblLook w:val="04A0" w:firstRow="1" w:lastRow="0" w:firstColumn="1" w:lastColumn="0" w:noHBand="0" w:noVBand="1"/>
      </w:tblPr>
      <w:tblGrid>
        <w:gridCol w:w="1737"/>
        <w:gridCol w:w="1023"/>
        <w:gridCol w:w="1050"/>
        <w:gridCol w:w="1137"/>
        <w:gridCol w:w="1076"/>
        <w:gridCol w:w="1166"/>
        <w:gridCol w:w="1123"/>
        <w:gridCol w:w="1216"/>
      </w:tblGrid>
      <w:tr w:rsidR="00E85D42">
        <w:tblPrEx>
          <w:tblCellMar>
            <w:top w:w="0" w:type="dxa"/>
            <w:bottom w:w="0" w:type="dxa"/>
          </w:tblCellMar>
        </w:tblPrEx>
        <w:trPr>
          <w:tblHeader/>
        </w:trPr>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7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6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63.22656</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0.78086</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1.13026</w:t>
            </w:r>
          </w:p>
        </w:tc>
        <w:tc>
          <w:tcPr>
            <w:tcW w:w="107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0.89287</w:t>
            </w:r>
          </w:p>
        </w:tc>
        <w:tc>
          <w:tcPr>
            <w:tcW w:w="116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0.90044</w:t>
            </w:r>
          </w:p>
        </w:tc>
        <w:tc>
          <w:tcPr>
            <w:tcW w:w="11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0.16241</w:t>
            </w:r>
          </w:p>
        </w:tc>
        <w:tc>
          <w:tcPr>
            <w:tcW w:w="121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0.14603</w:t>
            </w:r>
          </w:p>
        </w:tc>
      </w:tr>
    </w:tbl>
    <w:p w:rsidR="00E85D42" w:rsidRDefault="00E85D42">
      <w:pPr>
        <w:pStyle w:val="Standarduser"/>
        <w:jc w:val="both"/>
      </w:pPr>
    </w:p>
    <w:p w:rsidR="00E85D42" w:rsidRDefault="008113B9">
      <w:pPr>
        <w:pStyle w:val="Standarduser"/>
        <w:tabs>
          <w:tab w:val="left" w:pos="1134"/>
        </w:tabs>
        <w:spacing w:before="120" w:line="288" w:lineRule="auto"/>
        <w:jc w:val="both"/>
        <w:rPr>
          <w:b/>
        </w:rPr>
      </w:pPr>
      <w:r>
        <w:rPr>
          <w:b/>
        </w:rPr>
        <w:t>Земельные участки, предназначенные для размещения домов индивидуальной жилой застройки в сельских НП (Центры СС):</w:t>
      </w:r>
    </w:p>
    <w:p w:rsidR="00E85D42" w:rsidRDefault="008113B9">
      <w:pPr>
        <w:pStyle w:val="Standarduser"/>
        <w:tabs>
          <w:tab w:val="left" w:pos="1134"/>
          <w:tab w:val="left" w:pos="1701"/>
        </w:tabs>
        <w:spacing w:line="288" w:lineRule="auto"/>
        <w:ind w:left="720"/>
        <w:jc w:val="both"/>
      </w:pPr>
      <w:r>
        <w:t xml:space="preserve">Для расчета выбрана </w:t>
      </w:r>
      <w:r>
        <w:rPr>
          <w:b/>
        </w:rPr>
        <w:t>экспоненциальная модель.</w:t>
      </w:r>
    </w:p>
    <w:p w:rsidR="00E85D42" w:rsidRDefault="008113B9">
      <w:pPr>
        <w:pStyle w:val="Standarduser"/>
        <w:tabs>
          <w:tab w:val="left" w:pos="1134"/>
          <w:tab w:val="left" w:pos="1701"/>
        </w:tabs>
        <w:spacing w:line="288" w:lineRule="auto"/>
        <w:jc w:val="both"/>
        <w:rPr>
          <w:sz w:val="20"/>
          <w:szCs w:val="20"/>
        </w:rPr>
      </w:pPr>
      <w:r>
        <w:rPr>
          <w:sz w:val="20"/>
          <w:szCs w:val="20"/>
        </w:rPr>
        <w:t xml:space="preserve">УПКС = 11.255113655841336 * </w:t>
      </w:r>
      <w:r>
        <w:rPr>
          <w:sz w:val="20"/>
          <w:szCs w:val="20"/>
        </w:rPr>
        <w:t>e^(1.8611723462733691*Расстояние от НП до столицы субъекта РФ+0.044973559783315076*Численность населения в населенном пункте+0.1808477892319661*Численность населения в МР, ГО+0.1035757740422043*Среднемесячная заработная плата в муниципальном районе, городс</w:t>
      </w:r>
      <w:r>
        <w:rPr>
          <w:sz w:val="20"/>
          <w:szCs w:val="20"/>
        </w:rPr>
        <w:t>ком округе)</w:t>
      </w:r>
      <w:r>
        <w:rPr>
          <w:sz w:val="20"/>
          <w:szCs w:val="20"/>
        </w:rPr>
        <w:tab/>
      </w:r>
    </w:p>
    <w:p w:rsidR="00E85D42" w:rsidRDefault="008113B9">
      <w:pPr>
        <w:pStyle w:val="Standarduser"/>
        <w:jc w:val="right"/>
      </w:pPr>
      <w:r>
        <w:t>Таблица 3.6.13.8</w:t>
      </w:r>
    </w:p>
    <w:tbl>
      <w:tblPr>
        <w:tblW w:w="5000" w:type="pct"/>
        <w:tblLayout w:type="fixed"/>
        <w:tblCellMar>
          <w:left w:w="10" w:type="dxa"/>
          <w:right w:w="10" w:type="dxa"/>
        </w:tblCellMar>
        <w:tblLook w:val="04A0" w:firstRow="1" w:lastRow="0" w:firstColumn="1" w:lastColumn="0" w:noHBand="0" w:noVBand="1"/>
      </w:tblPr>
      <w:tblGrid>
        <w:gridCol w:w="2844"/>
        <w:gridCol w:w="575"/>
        <w:gridCol w:w="4892"/>
        <w:gridCol w:w="1403"/>
      </w:tblGrid>
      <w:tr w:rsidR="00E85D42">
        <w:tblPrEx>
          <w:tblCellMar>
            <w:top w:w="0" w:type="dxa"/>
            <w:bottom w:w="0" w:type="dxa"/>
          </w:tblCellMar>
        </w:tblPrEx>
        <w:trPr>
          <w:trHeight w:val="540"/>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t>№</w:t>
            </w:r>
          </w:p>
        </w:tc>
        <w:tc>
          <w:tcPr>
            <w:tcW w:w="489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0"/>
                <w:szCs w:val="20"/>
              </w:rPr>
            </w:pPr>
            <w:r>
              <w:rPr>
                <w:sz w:val="20"/>
                <w:szCs w:val="20"/>
              </w:rPr>
              <w:t>Формула для расчета</w:t>
            </w:r>
          </w:p>
          <w:p w:rsidR="00E85D42" w:rsidRDefault="008113B9">
            <w:pPr>
              <w:pStyle w:val="5"/>
              <w:shd w:val="clear" w:color="auto" w:fill="FFFFFF"/>
              <w:spacing w:before="0"/>
            </w:pPr>
            <w:r>
              <w:rPr>
                <w:rFonts w:ascii="Times New Roman" w:hAnsi="Times New Roman"/>
                <w:color w:val="212529"/>
                <w:sz w:val="20"/>
                <w:szCs w:val="20"/>
              </w:rPr>
              <w:t>Y</w:t>
            </w:r>
            <w:r>
              <w:rPr>
                <w:rFonts w:ascii="Times New Roman" w:hAnsi="Times New Roman"/>
                <w:b w:val="0"/>
                <w:bCs/>
                <w:color w:val="212529"/>
                <w:sz w:val="20"/>
                <w:szCs w:val="20"/>
              </w:rPr>
              <w:t> = 11.255113655841336 * e</w:t>
            </w:r>
            <w:r>
              <w:rPr>
                <w:rFonts w:ascii="Times New Roman" w:hAnsi="Times New Roman"/>
                <w:b w:val="0"/>
                <w:bCs/>
                <w:color w:val="212529"/>
                <w:sz w:val="20"/>
                <w:szCs w:val="20"/>
                <w:vertAlign w:val="superscript"/>
              </w:rPr>
              <w:t>1.8611723462733691 * </w:t>
            </w:r>
            <w:r>
              <w:rPr>
                <w:rFonts w:ascii="Times New Roman" w:hAnsi="Times New Roman"/>
                <w:color w:val="212529"/>
                <w:sz w:val="20"/>
                <w:szCs w:val="20"/>
                <w:vertAlign w:val="superscript"/>
                <w:lang w:val="en-US"/>
              </w:rPr>
              <w:t>F</w:t>
            </w:r>
            <w:r>
              <w:rPr>
                <w:rFonts w:ascii="Times New Roman" w:hAnsi="Times New Roman"/>
                <w:color w:val="212529"/>
                <w:sz w:val="20"/>
                <w:szCs w:val="20"/>
                <w:vertAlign w:val="superscript"/>
              </w:rPr>
              <w:t>1</w:t>
            </w:r>
            <w:r>
              <w:rPr>
                <w:rFonts w:ascii="Times New Roman" w:hAnsi="Times New Roman"/>
                <w:b w:val="0"/>
                <w:bCs/>
                <w:color w:val="212529"/>
                <w:sz w:val="20"/>
                <w:szCs w:val="20"/>
                <w:vertAlign w:val="superscript"/>
              </w:rPr>
              <w:t> + 0.1035757740422043 * </w:t>
            </w:r>
            <w:r>
              <w:rPr>
                <w:rFonts w:ascii="Times New Roman" w:hAnsi="Times New Roman"/>
                <w:color w:val="212529"/>
                <w:sz w:val="20"/>
                <w:szCs w:val="20"/>
                <w:vertAlign w:val="superscript"/>
                <w:lang w:val="en-US"/>
              </w:rPr>
              <w:t>F</w:t>
            </w:r>
            <w:r>
              <w:rPr>
                <w:rFonts w:ascii="Times New Roman" w:hAnsi="Times New Roman"/>
                <w:color w:val="212529"/>
                <w:sz w:val="20"/>
                <w:szCs w:val="20"/>
                <w:vertAlign w:val="superscript"/>
              </w:rPr>
              <w:t>2</w:t>
            </w:r>
            <w:r>
              <w:rPr>
                <w:rFonts w:ascii="Times New Roman" w:hAnsi="Times New Roman"/>
                <w:b w:val="0"/>
                <w:bCs/>
                <w:color w:val="212529"/>
                <w:sz w:val="20"/>
                <w:szCs w:val="20"/>
                <w:vertAlign w:val="superscript"/>
              </w:rPr>
              <w:t> + 0.1808477892319661 * </w:t>
            </w:r>
            <w:r>
              <w:rPr>
                <w:rFonts w:ascii="Times New Roman" w:hAnsi="Times New Roman"/>
                <w:color w:val="212529"/>
                <w:sz w:val="20"/>
                <w:szCs w:val="20"/>
                <w:vertAlign w:val="superscript"/>
                <w:lang w:val="en-US"/>
              </w:rPr>
              <w:t>F</w:t>
            </w:r>
            <w:r>
              <w:rPr>
                <w:rFonts w:ascii="Times New Roman" w:hAnsi="Times New Roman"/>
                <w:color w:val="212529"/>
                <w:sz w:val="20"/>
                <w:szCs w:val="20"/>
                <w:vertAlign w:val="superscript"/>
              </w:rPr>
              <w:t>3</w:t>
            </w:r>
            <w:r>
              <w:rPr>
                <w:rFonts w:ascii="Times New Roman" w:hAnsi="Times New Roman"/>
                <w:b w:val="0"/>
                <w:bCs/>
                <w:color w:val="212529"/>
                <w:sz w:val="20"/>
                <w:szCs w:val="20"/>
                <w:vertAlign w:val="superscript"/>
              </w:rPr>
              <w:t> + 0.044973559783315076 * </w:t>
            </w:r>
            <w:r>
              <w:rPr>
                <w:rFonts w:ascii="Times New Roman" w:hAnsi="Times New Roman"/>
                <w:color w:val="212529"/>
                <w:sz w:val="20"/>
                <w:szCs w:val="20"/>
                <w:vertAlign w:val="superscript"/>
                <w:lang w:val="en-US"/>
              </w:rPr>
              <w:t>F</w:t>
            </w:r>
            <w:r>
              <w:rPr>
                <w:rFonts w:ascii="Times New Roman" w:hAnsi="Times New Roman"/>
                <w:color w:val="212529"/>
                <w:sz w:val="20"/>
                <w:szCs w:val="20"/>
                <w:vertAlign w:val="superscript"/>
              </w:rPr>
              <w:t>4</w:t>
            </w:r>
          </w:p>
          <w:p w:rsidR="00E85D42" w:rsidRDefault="00E85D42">
            <w:pPr>
              <w:jc w:val="center"/>
              <w:rPr>
                <w:color w:val="000000"/>
              </w:rPr>
            </w:pPr>
          </w:p>
        </w:tc>
        <w:tc>
          <w:tcPr>
            <w:tcW w:w="140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315"/>
        </w:trPr>
        <w:tc>
          <w:tcPr>
            <w:tcW w:w="284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 xml:space="preserve">Расстояние от НП до столицы субъекта </w:t>
            </w:r>
            <w:r>
              <w:rPr>
                <w:color w:val="000000"/>
              </w:rPr>
              <w:t>РФ </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89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rPr>
              <w:t>156.88709677419354 / (73 + </w:t>
            </w:r>
            <w:r>
              <w:rPr>
                <w:b/>
                <w:bCs/>
                <w:color w:val="212529"/>
              </w:rPr>
              <w:t>X</w:t>
            </w:r>
            <w:r>
              <w:rPr>
                <w:b/>
                <w:bCs/>
                <w:color w:val="212529"/>
                <w:vertAlign w:val="subscript"/>
              </w:rPr>
              <w:t>0</w:t>
            </w:r>
            <w:r>
              <w:rPr>
                <w:color w:val="212529"/>
              </w:rPr>
              <w:t>)</w:t>
            </w:r>
          </w:p>
        </w:tc>
        <w:tc>
          <w:tcPr>
            <w:tcW w:w="14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0.9</w:t>
            </w:r>
          </w:p>
        </w:tc>
      </w:tr>
      <w:tr w:rsidR="00E85D42">
        <w:tblPrEx>
          <w:tblCellMar>
            <w:top w:w="0" w:type="dxa"/>
            <w:bottom w:w="0" w:type="dxa"/>
          </w:tblCellMar>
        </w:tblPrEx>
        <w:trPr>
          <w:trHeight w:val="315"/>
        </w:trPr>
        <w:tc>
          <w:tcPr>
            <w:tcW w:w="284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rPr>
              <w:t>Среднемесячная заработная плата в муниципальном районе, городском округе</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89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rPr>
              <w:t>(12460 + </w:t>
            </w:r>
            <w:r>
              <w:rPr>
                <w:b/>
                <w:bCs/>
                <w:color w:val="212529"/>
              </w:rPr>
              <w:t>X</w:t>
            </w:r>
            <w:r>
              <w:rPr>
                <w:b/>
                <w:bCs/>
                <w:color w:val="212529"/>
                <w:vertAlign w:val="subscript"/>
              </w:rPr>
              <w:t>1</w:t>
            </w:r>
            <w:r>
              <w:rPr>
                <w:color w:val="212529"/>
              </w:rPr>
              <w:t>) / 24939.070967741936</w:t>
            </w:r>
          </w:p>
        </w:tc>
        <w:tc>
          <w:tcPr>
            <w:tcW w:w="14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0.85</w:t>
            </w:r>
          </w:p>
        </w:tc>
      </w:tr>
      <w:tr w:rsidR="00E85D42">
        <w:tblPrEx>
          <w:tblCellMar>
            <w:top w:w="0" w:type="dxa"/>
            <w:bottom w:w="0" w:type="dxa"/>
          </w:tblCellMar>
        </w:tblPrEx>
        <w:trPr>
          <w:trHeight w:val="315"/>
        </w:trPr>
        <w:tc>
          <w:tcPr>
            <w:tcW w:w="284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rPr>
              <w:t>Численность населения в МР, ГО</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000000"/>
              </w:rPr>
              <w:t>F</w:t>
            </w:r>
            <w:r>
              <w:rPr>
                <w:color w:val="000000"/>
                <w:lang w:val="en-US"/>
              </w:rPr>
              <w:t>3</w:t>
            </w:r>
          </w:p>
        </w:tc>
        <w:tc>
          <w:tcPr>
            <w:tcW w:w="489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rPr>
              <w:t>(21446.2 + </w:t>
            </w:r>
            <w:r>
              <w:rPr>
                <w:b/>
                <w:bCs/>
                <w:color w:val="212529"/>
              </w:rPr>
              <w:t>X</w:t>
            </w:r>
            <w:r>
              <w:rPr>
                <w:b/>
                <w:bCs/>
                <w:color w:val="212529"/>
                <w:vertAlign w:val="subscript"/>
              </w:rPr>
              <w:t>2</w:t>
            </w:r>
            <w:r>
              <w:rPr>
                <w:color w:val="212529"/>
              </w:rPr>
              <w:t>) / 30302.879032258064</w:t>
            </w:r>
          </w:p>
        </w:tc>
        <w:tc>
          <w:tcPr>
            <w:tcW w:w="14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lang w:val="en-US"/>
              </w:rPr>
            </w:pPr>
            <w:r>
              <w:rPr>
                <w:color w:val="000000"/>
                <w:lang w:val="en-US"/>
              </w:rPr>
              <w:t>0.88</w:t>
            </w:r>
          </w:p>
        </w:tc>
      </w:tr>
      <w:tr w:rsidR="00E85D42">
        <w:tblPrEx>
          <w:tblCellMar>
            <w:top w:w="0" w:type="dxa"/>
            <w:bottom w:w="0" w:type="dxa"/>
          </w:tblCellMar>
        </w:tblPrEx>
        <w:trPr>
          <w:trHeight w:val="300"/>
        </w:trPr>
        <w:tc>
          <w:tcPr>
            <w:tcW w:w="284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shd w:val="clear" w:color="auto" w:fill="F4F7FA"/>
              </w:rPr>
              <w:t>Численность населения</w:t>
            </w:r>
            <w:r>
              <w:rPr>
                <w:color w:val="212529"/>
                <w:shd w:val="clear" w:color="auto" w:fill="F4F7FA"/>
              </w:rPr>
              <w:t xml:space="preserve"> в населенном пункте</w:t>
            </w:r>
          </w:p>
        </w:tc>
        <w:tc>
          <w:tcPr>
            <w:tcW w:w="57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color w:val="000000"/>
              </w:rPr>
              <w:t>F</w:t>
            </w:r>
            <w:r>
              <w:rPr>
                <w:color w:val="000000"/>
                <w:lang w:val="en-US"/>
              </w:rPr>
              <w:t>4</w:t>
            </w:r>
          </w:p>
        </w:tc>
        <w:tc>
          <w:tcPr>
            <w:tcW w:w="489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shd w:val="clear" w:color="auto" w:fill="F4F7FA"/>
              </w:rPr>
              <w:t>(972.2 + </w:t>
            </w:r>
            <w:r>
              <w:rPr>
                <w:b/>
                <w:bCs/>
                <w:color w:val="212529"/>
                <w:shd w:val="clear" w:color="auto" w:fill="F4F7FA"/>
              </w:rPr>
              <w:t>X</w:t>
            </w:r>
            <w:r>
              <w:rPr>
                <w:b/>
                <w:bCs/>
                <w:color w:val="212529"/>
                <w:shd w:val="clear" w:color="auto" w:fill="F4F7FA"/>
                <w:vertAlign w:val="subscript"/>
              </w:rPr>
              <w:t>3</w:t>
            </w:r>
            <w:r>
              <w:rPr>
                <w:color w:val="212529"/>
                <w:shd w:val="clear" w:color="auto" w:fill="F4F7FA"/>
              </w:rPr>
              <w:t>) / 852.9435483870968</w:t>
            </w:r>
            <w:r>
              <w:rPr>
                <w:color w:val="000000"/>
              </w:rPr>
              <w:t xml:space="preserve"> </w:t>
            </w:r>
          </w:p>
        </w:tc>
        <w:tc>
          <w:tcPr>
            <w:tcW w:w="14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000000"/>
                <w:lang w:val="en-US"/>
              </w:rPr>
              <w:t>0.48</w:t>
            </w:r>
          </w:p>
        </w:tc>
      </w:tr>
    </w:tbl>
    <w:p w:rsidR="00E85D42" w:rsidRDefault="00E85D42">
      <w:pPr>
        <w:pStyle w:val="Standarduser"/>
        <w:jc w:val="both"/>
      </w:pPr>
    </w:p>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3.6.13.9</w:t>
      </w:r>
    </w:p>
    <w:tbl>
      <w:tblPr>
        <w:tblW w:w="9528" w:type="dxa"/>
        <w:tblCellMar>
          <w:left w:w="10" w:type="dxa"/>
          <w:right w:w="10" w:type="dxa"/>
        </w:tblCellMar>
        <w:tblLook w:val="04A0" w:firstRow="1" w:lastRow="0" w:firstColumn="1" w:lastColumn="0" w:noHBand="0" w:noVBand="1"/>
      </w:tblPr>
      <w:tblGrid>
        <w:gridCol w:w="1737"/>
        <w:gridCol w:w="1023"/>
        <w:gridCol w:w="1050"/>
        <w:gridCol w:w="1137"/>
        <w:gridCol w:w="1076"/>
        <w:gridCol w:w="1166"/>
        <w:gridCol w:w="1123"/>
        <w:gridCol w:w="1216"/>
      </w:tblGrid>
      <w:tr w:rsidR="00E85D42">
        <w:tblPrEx>
          <w:tblCellMar>
            <w:top w:w="0" w:type="dxa"/>
            <w:bottom w:w="0" w:type="dxa"/>
          </w:tblCellMar>
        </w:tblPrEx>
        <w:trPr>
          <w:tblHeader/>
        </w:trPr>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7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6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139.78401</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0.78895</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0.02525</w:t>
            </w:r>
          </w:p>
        </w:tc>
        <w:tc>
          <w:tcPr>
            <w:tcW w:w="107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0.96504</w:t>
            </w:r>
          </w:p>
        </w:tc>
        <w:tc>
          <w:tcPr>
            <w:tcW w:w="116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0.95018</w:t>
            </w:r>
          </w:p>
        </w:tc>
        <w:tc>
          <w:tcPr>
            <w:tcW w:w="11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0.22634</w:t>
            </w:r>
          </w:p>
        </w:tc>
        <w:tc>
          <w:tcPr>
            <w:tcW w:w="121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0.1805</w:t>
            </w:r>
          </w:p>
        </w:tc>
      </w:tr>
    </w:tbl>
    <w:p w:rsidR="00E85D42" w:rsidRDefault="00E85D42">
      <w:pPr>
        <w:pStyle w:val="Standarduser"/>
        <w:jc w:val="both"/>
      </w:pPr>
    </w:p>
    <w:p w:rsidR="00E85D42" w:rsidRDefault="008113B9">
      <w:pPr>
        <w:pStyle w:val="Standarduser"/>
        <w:tabs>
          <w:tab w:val="left" w:pos="1134"/>
        </w:tabs>
        <w:spacing w:before="120" w:line="288" w:lineRule="auto"/>
        <w:jc w:val="both"/>
        <w:rPr>
          <w:b/>
        </w:rPr>
      </w:pPr>
      <w:r>
        <w:rPr>
          <w:b/>
        </w:rPr>
        <w:t>Земельные участки, предназначенные для размещения домов индивидуальной жилой застройки в сельских НП (Прочие НП):</w:t>
      </w:r>
    </w:p>
    <w:p w:rsidR="00E85D42" w:rsidRDefault="008113B9">
      <w:pPr>
        <w:pStyle w:val="Standarduser"/>
        <w:tabs>
          <w:tab w:val="left" w:pos="1134"/>
          <w:tab w:val="left" w:pos="1701"/>
        </w:tabs>
        <w:spacing w:line="288" w:lineRule="auto"/>
        <w:ind w:left="720"/>
        <w:jc w:val="both"/>
      </w:pPr>
      <w:r>
        <w:t xml:space="preserve">Для расчета выбрана </w:t>
      </w:r>
      <w:r>
        <w:rPr>
          <w:b/>
        </w:rPr>
        <w:t>экспоненциальная модель.</w:t>
      </w:r>
    </w:p>
    <w:p w:rsidR="00E85D42" w:rsidRDefault="008113B9">
      <w:pPr>
        <w:pStyle w:val="Standarduser"/>
        <w:tabs>
          <w:tab w:val="left" w:pos="1134"/>
          <w:tab w:val="left" w:pos="1701"/>
        </w:tabs>
        <w:spacing w:line="288" w:lineRule="auto"/>
        <w:jc w:val="both"/>
        <w:rPr>
          <w:sz w:val="20"/>
          <w:szCs w:val="20"/>
        </w:rPr>
      </w:pPr>
      <w:r>
        <w:rPr>
          <w:sz w:val="20"/>
          <w:szCs w:val="20"/>
        </w:rPr>
        <w:t>УПКС = 6.04551715142835 * e^(2.0933281145915696*Расстояние от НП до столицы субъекта РФ+0.02809016108739637*Численность населения в населенном пункте+0.5839988165816552*Среднемесячная заработная плата в муниципа</w:t>
      </w:r>
      <w:r>
        <w:rPr>
          <w:sz w:val="20"/>
          <w:szCs w:val="20"/>
        </w:rPr>
        <w:t>льном районе, городском округе+0.030872811756142343*Численность населения в МР, ГО)</w:t>
      </w:r>
      <w:r>
        <w:rPr>
          <w:sz w:val="20"/>
          <w:szCs w:val="20"/>
        </w:rPr>
        <w:tab/>
      </w:r>
    </w:p>
    <w:p w:rsidR="00E85D42" w:rsidRDefault="008113B9">
      <w:pPr>
        <w:pStyle w:val="Standarduser"/>
        <w:jc w:val="right"/>
      </w:pPr>
      <w:r>
        <w:t>Таблица 3.6.13.10</w:t>
      </w:r>
    </w:p>
    <w:tbl>
      <w:tblPr>
        <w:tblW w:w="5000" w:type="pct"/>
        <w:tblLayout w:type="fixed"/>
        <w:tblCellMar>
          <w:left w:w="10" w:type="dxa"/>
          <w:right w:w="10" w:type="dxa"/>
        </w:tblCellMar>
        <w:tblLook w:val="04A0" w:firstRow="1" w:lastRow="0" w:firstColumn="1" w:lastColumn="0" w:noHBand="0" w:noVBand="1"/>
      </w:tblPr>
      <w:tblGrid>
        <w:gridCol w:w="2845"/>
        <w:gridCol w:w="575"/>
        <w:gridCol w:w="4746"/>
        <w:gridCol w:w="1548"/>
      </w:tblGrid>
      <w:tr w:rsidR="00E85D42">
        <w:tblPrEx>
          <w:tblCellMar>
            <w:top w:w="0" w:type="dxa"/>
            <w:bottom w:w="0" w:type="dxa"/>
          </w:tblCellMar>
        </w:tblPrEx>
        <w:trPr>
          <w:trHeight w:val="63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Ценообразующий фактор</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t>№</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pStyle w:val="Standarduser"/>
              <w:jc w:val="center"/>
              <w:rPr>
                <w:sz w:val="20"/>
                <w:szCs w:val="20"/>
              </w:rPr>
            </w:pPr>
            <w:r>
              <w:rPr>
                <w:sz w:val="20"/>
                <w:szCs w:val="20"/>
              </w:rPr>
              <w:t>Формула для расчета</w:t>
            </w:r>
          </w:p>
          <w:p w:rsidR="00E85D42" w:rsidRDefault="008113B9">
            <w:r>
              <w:rPr>
                <w:color w:val="000000"/>
              </w:rPr>
              <w:t>Y = 6.04551715142835 * e</w:t>
            </w:r>
            <w:r>
              <w:rPr>
                <w:color w:val="000000"/>
                <w:vertAlign w:val="superscript"/>
              </w:rPr>
              <w:t xml:space="preserve">2.0933281145915696 * </w:t>
            </w:r>
            <w:r>
              <w:rPr>
                <w:color w:val="000000"/>
                <w:vertAlign w:val="superscript"/>
                <w:lang w:val="en-US"/>
              </w:rPr>
              <w:t>F</w:t>
            </w:r>
            <w:r>
              <w:rPr>
                <w:color w:val="000000"/>
                <w:vertAlign w:val="superscript"/>
              </w:rPr>
              <w:t xml:space="preserve">1 + 0.5839988165816552 * </w:t>
            </w:r>
            <w:r>
              <w:rPr>
                <w:color w:val="000000"/>
                <w:vertAlign w:val="superscript"/>
                <w:lang w:val="en-US"/>
              </w:rPr>
              <w:t>F</w:t>
            </w:r>
            <w:r>
              <w:rPr>
                <w:color w:val="000000"/>
                <w:vertAlign w:val="superscript"/>
              </w:rPr>
              <w:t xml:space="preserve">2 + 0.030872811756142343 * </w:t>
            </w:r>
            <w:r>
              <w:rPr>
                <w:color w:val="000000"/>
                <w:vertAlign w:val="superscript"/>
                <w:lang w:val="en-US"/>
              </w:rPr>
              <w:t>F</w:t>
            </w:r>
            <w:r>
              <w:rPr>
                <w:color w:val="000000"/>
                <w:vertAlign w:val="superscript"/>
              </w:rPr>
              <w:t xml:space="preserve">3 + </w:t>
            </w:r>
            <w:r>
              <w:rPr>
                <w:color w:val="000000"/>
                <w:vertAlign w:val="superscript"/>
              </w:rPr>
              <w:t xml:space="preserve">0.02809016108739637 * </w:t>
            </w:r>
            <w:r>
              <w:rPr>
                <w:color w:val="000000"/>
                <w:vertAlign w:val="superscript"/>
                <w:lang w:val="en-US"/>
              </w:rPr>
              <w:t>F</w:t>
            </w:r>
            <w:r>
              <w:rPr>
                <w:color w:val="000000"/>
                <w:vertAlign w:val="superscript"/>
              </w:rPr>
              <w:t>4</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Корреляция</w:t>
            </w:r>
          </w:p>
        </w:tc>
      </w:tr>
      <w:tr w:rsidR="00E85D42">
        <w:tblPrEx>
          <w:tblCellMar>
            <w:top w:w="0" w:type="dxa"/>
            <w:bottom w:w="0" w:type="dxa"/>
          </w:tblCellMar>
        </w:tblPrEx>
        <w:trPr>
          <w:trHeight w:val="30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Расстояние от НП до столицы субъекта РФ </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rPr>
              <w:t>150.1346153846154 / (91.4 + </w:t>
            </w:r>
            <w:r>
              <w:rPr>
                <w:b/>
                <w:bCs/>
                <w:color w:val="212529"/>
              </w:rPr>
              <w:t>X</w:t>
            </w:r>
            <w:r>
              <w:rPr>
                <w:b/>
                <w:bCs/>
                <w:color w:val="212529"/>
                <w:vertAlign w:val="subscript"/>
              </w:rPr>
              <w:t>0</w:t>
            </w:r>
            <w:r>
              <w:rPr>
                <w:color w:val="212529"/>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lang w:val="en-US"/>
              </w:rPr>
            </w:pPr>
            <w:r>
              <w:rPr>
                <w:color w:val="000000"/>
                <w:lang w:val="en-US"/>
              </w:rPr>
              <w:t>0.85</w:t>
            </w:r>
          </w:p>
        </w:tc>
      </w:tr>
      <w:tr w:rsidR="00E85D42">
        <w:tblPrEx>
          <w:tblCellMar>
            <w:top w:w="0" w:type="dxa"/>
            <w:bottom w:w="0" w:type="dxa"/>
          </w:tblCellMar>
        </w:tblPrEx>
        <w:trPr>
          <w:trHeight w:val="30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rPr>
              <w:t>Среднемесячная заработная плата в муниципальном районе, городском округе</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rPr>
              <w:t>(12905.220000000001 + </w:t>
            </w:r>
            <w:r>
              <w:rPr>
                <w:b/>
                <w:bCs/>
                <w:color w:val="212529"/>
              </w:rPr>
              <w:t>X</w:t>
            </w:r>
            <w:r>
              <w:rPr>
                <w:b/>
                <w:bCs/>
                <w:color w:val="212529"/>
                <w:vertAlign w:val="subscript"/>
              </w:rPr>
              <w:t>1</w:t>
            </w:r>
            <w:r>
              <w:rPr>
                <w:color w:val="212529"/>
              </w:rPr>
              <w:t>) / 25193.33846153846</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lang w:val="en-US"/>
              </w:rPr>
            </w:pPr>
            <w:r>
              <w:rPr>
                <w:color w:val="000000"/>
                <w:lang w:val="en-US"/>
              </w:rPr>
              <w:t>0.89</w:t>
            </w:r>
          </w:p>
        </w:tc>
      </w:tr>
      <w:tr w:rsidR="00E85D42">
        <w:tblPrEx>
          <w:tblCellMar>
            <w:top w:w="0" w:type="dxa"/>
            <w:bottom w:w="0" w:type="dxa"/>
          </w:tblCellMar>
        </w:tblPrEx>
        <w:trPr>
          <w:trHeight w:val="30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shd w:val="clear" w:color="auto" w:fill="F4F7FA"/>
              </w:rPr>
              <w:t>Численность населения в МР, ГО</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lang w:val="en-US"/>
              </w:rPr>
            </w:pPr>
            <w:r>
              <w:rPr>
                <w:color w:val="000000"/>
                <w:lang w:val="en-US"/>
              </w:rPr>
              <w:t>F3</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shd w:val="clear" w:color="auto" w:fill="F4F7FA"/>
              </w:rPr>
              <w:t>(23247.800000000003 + </w:t>
            </w:r>
            <w:r>
              <w:rPr>
                <w:b/>
                <w:bCs/>
                <w:color w:val="212529"/>
                <w:shd w:val="clear" w:color="auto" w:fill="F4F7FA"/>
              </w:rPr>
              <w:t>X</w:t>
            </w:r>
            <w:r>
              <w:rPr>
                <w:b/>
                <w:bCs/>
                <w:color w:val="212529"/>
                <w:shd w:val="clear" w:color="auto" w:fill="F4F7FA"/>
                <w:vertAlign w:val="subscript"/>
              </w:rPr>
              <w:t>2</w:t>
            </w:r>
            <w:r>
              <w:rPr>
                <w:color w:val="212529"/>
                <w:shd w:val="clear" w:color="auto" w:fill="F4F7FA"/>
              </w:rPr>
              <w:t>) / 32997.980769230766</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lang w:val="en-US"/>
              </w:rPr>
            </w:pPr>
            <w:r>
              <w:rPr>
                <w:color w:val="000000"/>
                <w:lang w:val="en-US"/>
              </w:rPr>
              <w:t>0.7</w:t>
            </w:r>
          </w:p>
        </w:tc>
      </w:tr>
      <w:tr w:rsidR="00E85D42">
        <w:tblPrEx>
          <w:tblCellMar>
            <w:top w:w="0" w:type="dxa"/>
            <w:bottom w:w="0" w:type="dxa"/>
          </w:tblCellMar>
        </w:tblPrEx>
        <w:trPr>
          <w:trHeight w:val="30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Численность населения в населенном пункте </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rPr>
                <w:color w:val="000000"/>
                <w:lang w:val="en-US"/>
              </w:rPr>
              <w:t>F4</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color w:val="212529"/>
              </w:rPr>
              <w:t>(320.8 + </w:t>
            </w:r>
            <w:r>
              <w:rPr>
                <w:b/>
                <w:bCs/>
                <w:color w:val="212529"/>
              </w:rPr>
              <w:t>X</w:t>
            </w:r>
            <w:r>
              <w:rPr>
                <w:b/>
                <w:bCs/>
                <w:color w:val="212529"/>
                <w:vertAlign w:val="subscript"/>
              </w:rPr>
              <w:t>3</w:t>
            </w:r>
            <w:r>
              <w:rPr>
                <w:color w:val="212529"/>
              </w:rPr>
              <w:t>) / 172.6730769230769</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lang w:val="en-US"/>
              </w:rPr>
            </w:pPr>
            <w:r>
              <w:rPr>
                <w:color w:val="000000"/>
                <w:lang w:val="en-US"/>
              </w:rPr>
              <w:t>0.36</w:t>
            </w:r>
          </w:p>
        </w:tc>
      </w:tr>
    </w:tbl>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3.6.13.11</w:t>
      </w:r>
    </w:p>
    <w:tbl>
      <w:tblPr>
        <w:tblW w:w="9528" w:type="dxa"/>
        <w:tblCellMar>
          <w:left w:w="10" w:type="dxa"/>
          <w:right w:w="10" w:type="dxa"/>
        </w:tblCellMar>
        <w:tblLook w:val="04A0" w:firstRow="1" w:lastRow="0" w:firstColumn="1" w:lastColumn="0" w:noHBand="0" w:noVBand="1"/>
      </w:tblPr>
      <w:tblGrid>
        <w:gridCol w:w="1737"/>
        <w:gridCol w:w="1023"/>
        <w:gridCol w:w="1050"/>
        <w:gridCol w:w="1137"/>
        <w:gridCol w:w="1076"/>
        <w:gridCol w:w="1166"/>
        <w:gridCol w:w="1123"/>
        <w:gridCol w:w="1216"/>
      </w:tblGrid>
      <w:tr w:rsidR="00E85D42">
        <w:tblPrEx>
          <w:tblCellMar>
            <w:top w:w="0" w:type="dxa"/>
            <w:bottom w:w="0" w:type="dxa"/>
          </w:tblCellMar>
        </w:tblPrEx>
        <w:trPr>
          <w:tblHeader/>
        </w:trPr>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w:t>
            </w:r>
            <w:r>
              <w:rPr>
                <w:b/>
                <w:bCs/>
                <w:color w:val="212529"/>
              </w:rPr>
              <w:t xml:space="preserve">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7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6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47.32726</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0.59125</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1.30723</w:t>
            </w:r>
          </w:p>
        </w:tc>
        <w:tc>
          <w:tcPr>
            <w:tcW w:w="107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0.96661</w:t>
            </w:r>
          </w:p>
        </w:tc>
        <w:tc>
          <w:tcPr>
            <w:tcW w:w="116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0.97264</w:t>
            </w:r>
          </w:p>
        </w:tc>
        <w:tc>
          <w:tcPr>
            <w:tcW w:w="11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0.2088</w:t>
            </w:r>
          </w:p>
        </w:tc>
        <w:tc>
          <w:tcPr>
            <w:tcW w:w="121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0.14264</w:t>
            </w:r>
          </w:p>
        </w:tc>
      </w:tr>
    </w:tbl>
    <w:p w:rsidR="00E85D42" w:rsidRDefault="00E85D42">
      <w:pPr>
        <w:pStyle w:val="Standarduser"/>
        <w:tabs>
          <w:tab w:val="left" w:pos="1134"/>
        </w:tabs>
        <w:spacing w:before="120" w:line="288" w:lineRule="auto"/>
        <w:jc w:val="both"/>
        <w:rPr>
          <w:b/>
        </w:rPr>
      </w:pPr>
    </w:p>
    <w:p w:rsidR="00E85D42" w:rsidRDefault="008113B9">
      <w:pPr>
        <w:pStyle w:val="Standarduser"/>
        <w:tabs>
          <w:tab w:val="left" w:pos="1134"/>
        </w:tabs>
        <w:spacing w:before="120" w:line="288" w:lineRule="auto"/>
        <w:jc w:val="both"/>
        <w:rPr>
          <w:b/>
        </w:rPr>
      </w:pPr>
      <w:r>
        <w:rPr>
          <w:b/>
        </w:rPr>
        <w:t xml:space="preserve">Земельные </w:t>
      </w:r>
      <w:r>
        <w:rPr>
          <w:b/>
        </w:rPr>
        <w:t>участки, предназначенные для размещения домов индивидуальной жилой застройки в сельских НП городского округа г. Уфа (НП ГО Уфа):</w:t>
      </w:r>
    </w:p>
    <w:p w:rsidR="00E85D42" w:rsidRDefault="008113B9">
      <w:pPr>
        <w:pStyle w:val="Standarduser"/>
        <w:tabs>
          <w:tab w:val="left" w:pos="1134"/>
          <w:tab w:val="left" w:pos="1701"/>
        </w:tabs>
        <w:spacing w:line="288" w:lineRule="auto"/>
        <w:ind w:left="720"/>
        <w:jc w:val="both"/>
      </w:pPr>
      <w:r>
        <w:t xml:space="preserve">Для расчета выбрана </w:t>
      </w:r>
      <w:r>
        <w:rPr>
          <w:b/>
        </w:rPr>
        <w:t>мультипликативная модель.</w:t>
      </w:r>
    </w:p>
    <w:p w:rsidR="00E85D42" w:rsidRDefault="008113B9">
      <w:pPr>
        <w:pStyle w:val="Standarduser"/>
        <w:tabs>
          <w:tab w:val="left" w:pos="1134"/>
          <w:tab w:val="left" w:pos="1701"/>
        </w:tabs>
        <w:spacing w:line="288" w:lineRule="auto"/>
        <w:jc w:val="both"/>
        <w:rPr>
          <w:sz w:val="20"/>
          <w:szCs w:val="20"/>
        </w:rPr>
      </w:pPr>
      <w:r>
        <w:rPr>
          <w:sz w:val="20"/>
          <w:szCs w:val="20"/>
        </w:rPr>
        <w:t>УПКС = 1208.7787621607868*Расстояние от НП до столицы субъекта РФ^1.3339314347838</w:t>
      </w:r>
      <w:r>
        <w:rPr>
          <w:sz w:val="20"/>
          <w:szCs w:val="20"/>
        </w:rPr>
        <w:t>833*Численность населения в населенном пункте^0.14983261125691882</w:t>
      </w:r>
      <w:r>
        <w:rPr>
          <w:sz w:val="20"/>
          <w:szCs w:val="20"/>
        </w:rPr>
        <w:tab/>
      </w:r>
    </w:p>
    <w:p w:rsidR="00E85D42" w:rsidRDefault="008113B9">
      <w:pPr>
        <w:pStyle w:val="Standarduser"/>
        <w:jc w:val="right"/>
      </w:pPr>
      <w:r>
        <w:t>Таблица 3.6.13.12</w:t>
      </w:r>
    </w:p>
    <w:tbl>
      <w:tblPr>
        <w:tblW w:w="5000" w:type="pct"/>
        <w:tblLayout w:type="fixed"/>
        <w:tblCellMar>
          <w:left w:w="10" w:type="dxa"/>
          <w:right w:w="10" w:type="dxa"/>
        </w:tblCellMar>
        <w:tblLook w:val="04A0" w:firstRow="1" w:lastRow="0" w:firstColumn="1" w:lastColumn="0" w:noHBand="0" w:noVBand="1"/>
      </w:tblPr>
      <w:tblGrid>
        <w:gridCol w:w="2845"/>
        <w:gridCol w:w="575"/>
        <w:gridCol w:w="4746"/>
        <w:gridCol w:w="1548"/>
      </w:tblGrid>
      <w:tr w:rsidR="00E85D42">
        <w:tblPrEx>
          <w:tblCellMar>
            <w:top w:w="0" w:type="dxa"/>
            <w:bottom w:w="0" w:type="dxa"/>
          </w:tblCellMar>
        </w:tblPrEx>
        <w:trPr>
          <w:trHeight w:val="63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Ценообразующий фактор</w:t>
            </w:r>
          </w:p>
        </w:tc>
        <w:tc>
          <w:tcPr>
            <w:tcW w:w="5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t>№</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pStyle w:val="Standarduser"/>
              <w:jc w:val="center"/>
              <w:rPr>
                <w:sz w:val="22"/>
                <w:szCs w:val="22"/>
              </w:rPr>
            </w:pPr>
            <w:r>
              <w:rPr>
                <w:sz w:val="22"/>
                <w:szCs w:val="22"/>
              </w:rPr>
              <w:t>Формула для расчета</w:t>
            </w:r>
          </w:p>
          <w:p w:rsidR="00E85D42" w:rsidRDefault="008113B9">
            <w:r>
              <w:rPr>
                <w:color w:val="000000"/>
                <w:sz w:val="18"/>
                <w:szCs w:val="18"/>
              </w:rPr>
              <w:t xml:space="preserve">Y = 1208.7787621607868 * </w:t>
            </w:r>
            <w:r>
              <w:rPr>
                <w:color w:val="000000"/>
                <w:sz w:val="18"/>
                <w:szCs w:val="18"/>
                <w:lang w:val="en-US"/>
              </w:rPr>
              <w:t>F</w:t>
            </w:r>
            <w:r>
              <w:rPr>
                <w:color w:val="000000"/>
                <w:sz w:val="18"/>
                <w:szCs w:val="18"/>
              </w:rPr>
              <w:t>1</w:t>
            </w:r>
            <w:r>
              <w:rPr>
                <w:color w:val="000000"/>
                <w:sz w:val="18"/>
                <w:szCs w:val="18"/>
                <w:vertAlign w:val="superscript"/>
              </w:rPr>
              <w:t xml:space="preserve">1.3339314347838833 </w:t>
            </w:r>
            <w:r>
              <w:rPr>
                <w:color w:val="000000"/>
                <w:sz w:val="18"/>
                <w:szCs w:val="18"/>
              </w:rPr>
              <w:t xml:space="preserve">* </w:t>
            </w:r>
            <w:r>
              <w:rPr>
                <w:color w:val="000000"/>
                <w:sz w:val="18"/>
                <w:szCs w:val="18"/>
                <w:lang w:val="en-US"/>
              </w:rPr>
              <w:t>F</w:t>
            </w:r>
            <w:r>
              <w:rPr>
                <w:color w:val="000000"/>
                <w:sz w:val="18"/>
                <w:szCs w:val="18"/>
              </w:rPr>
              <w:t>2</w:t>
            </w:r>
            <w:r>
              <w:rPr>
                <w:color w:val="000000"/>
                <w:sz w:val="18"/>
                <w:szCs w:val="18"/>
                <w:vertAlign w:val="superscript"/>
              </w:rPr>
              <w:t>0.14983261125691882</w:t>
            </w:r>
          </w:p>
        </w:tc>
        <w:tc>
          <w:tcPr>
            <w:tcW w:w="154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Корреляция</w:t>
            </w:r>
          </w:p>
        </w:tc>
      </w:tr>
      <w:tr w:rsidR="00E85D42">
        <w:tblPrEx>
          <w:tblCellMar>
            <w:top w:w="0" w:type="dxa"/>
            <w:bottom w:w="0" w:type="dxa"/>
          </w:tblCellMar>
        </w:tblPrEx>
        <w:trPr>
          <w:trHeight w:val="300"/>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Расстояние от НП до столицы субъекта РФ </w:t>
            </w:r>
          </w:p>
        </w:tc>
        <w:tc>
          <w:tcPr>
            <w:tcW w:w="5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rFonts w:ascii="Helvetica" w:hAnsi="Helvetica"/>
                <w:color w:val="212529"/>
                <w:shd w:val="clear" w:color="auto" w:fill="F4F7FA"/>
              </w:rPr>
              <w:t>19.583333333333336 / (7.800000000000001 + </w:t>
            </w:r>
            <w:r>
              <w:rPr>
                <w:rFonts w:ascii="Helvetica" w:hAnsi="Helvetica"/>
                <w:b/>
                <w:bCs/>
                <w:color w:val="212529"/>
                <w:shd w:val="clear" w:color="auto" w:fill="F4F7FA"/>
              </w:rPr>
              <w:t>X</w:t>
            </w:r>
            <w:r>
              <w:rPr>
                <w:rFonts w:ascii="Helvetica" w:hAnsi="Helvetica"/>
                <w:b/>
                <w:bCs/>
                <w:color w:val="212529"/>
                <w:sz w:val="18"/>
                <w:szCs w:val="18"/>
                <w:shd w:val="clear" w:color="auto" w:fill="F4F7FA"/>
                <w:vertAlign w:val="subscript"/>
              </w:rPr>
              <w:t>0</w:t>
            </w:r>
            <w:r>
              <w:rPr>
                <w:rFonts w:ascii="Helvetica" w:hAnsi="Helvetica"/>
                <w:color w:val="212529"/>
                <w:shd w:val="clear" w:color="auto" w:fill="F4F7FA"/>
              </w:rPr>
              <w:t>)</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lang w:val="en-US"/>
              </w:rPr>
            </w:pPr>
            <w:r>
              <w:rPr>
                <w:color w:val="000000"/>
                <w:lang w:val="en-US"/>
              </w:rPr>
              <w:t>0.78</w:t>
            </w:r>
          </w:p>
        </w:tc>
      </w:tr>
      <w:tr w:rsidR="00E85D42">
        <w:tblPrEx>
          <w:tblCellMar>
            <w:top w:w="0" w:type="dxa"/>
            <w:bottom w:w="0" w:type="dxa"/>
          </w:tblCellMar>
        </w:tblPrEx>
        <w:trPr>
          <w:trHeight w:val="300"/>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Численность населения в населенном пункте </w:t>
            </w:r>
          </w:p>
        </w:tc>
        <w:tc>
          <w:tcPr>
            <w:tcW w:w="5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r>
              <w:rPr>
                <w:rFonts w:ascii="Helvetica" w:hAnsi="Helvetica"/>
                <w:color w:val="212529"/>
                <w:shd w:val="clear" w:color="auto" w:fill="F4F7FA"/>
              </w:rPr>
              <w:t>(303.6 + </w:t>
            </w:r>
            <w:r>
              <w:rPr>
                <w:rFonts w:ascii="Helvetica" w:hAnsi="Helvetica"/>
                <w:b/>
                <w:bCs/>
                <w:color w:val="212529"/>
                <w:shd w:val="clear" w:color="auto" w:fill="F4F7FA"/>
              </w:rPr>
              <w:t>X</w:t>
            </w:r>
            <w:r>
              <w:rPr>
                <w:rFonts w:ascii="Helvetica" w:hAnsi="Helvetica"/>
                <w:b/>
                <w:bCs/>
                <w:color w:val="212529"/>
                <w:sz w:val="18"/>
                <w:szCs w:val="18"/>
                <w:shd w:val="clear" w:color="auto" w:fill="F4F7FA"/>
                <w:vertAlign w:val="subscript"/>
              </w:rPr>
              <w:t>1</w:t>
            </w:r>
            <w:r>
              <w:rPr>
                <w:rFonts w:ascii="Helvetica" w:hAnsi="Helvetica"/>
                <w:color w:val="212529"/>
                <w:shd w:val="clear" w:color="auto" w:fill="F4F7FA"/>
              </w:rPr>
              <w:t>) / 414.56666666666666</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lang w:val="en-US"/>
              </w:rPr>
            </w:pPr>
            <w:r>
              <w:rPr>
                <w:color w:val="000000"/>
                <w:lang w:val="en-US"/>
              </w:rPr>
              <w:t>0.59</w:t>
            </w:r>
          </w:p>
        </w:tc>
      </w:tr>
    </w:tbl>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3.6.13.13</w:t>
      </w:r>
    </w:p>
    <w:tbl>
      <w:tblPr>
        <w:tblW w:w="9528" w:type="dxa"/>
        <w:tblCellMar>
          <w:left w:w="10" w:type="dxa"/>
          <w:right w:w="10" w:type="dxa"/>
        </w:tblCellMar>
        <w:tblLook w:val="04A0" w:firstRow="1" w:lastRow="0" w:firstColumn="1" w:lastColumn="0" w:noHBand="0" w:noVBand="1"/>
      </w:tblPr>
      <w:tblGrid>
        <w:gridCol w:w="1837"/>
        <w:gridCol w:w="986"/>
        <w:gridCol w:w="1050"/>
        <w:gridCol w:w="1137"/>
        <w:gridCol w:w="1068"/>
        <w:gridCol w:w="1157"/>
        <w:gridCol w:w="1101"/>
        <w:gridCol w:w="1192"/>
      </w:tblGrid>
      <w:tr w:rsidR="00E85D42">
        <w:tblPrEx>
          <w:tblCellMar>
            <w:top w:w="0" w:type="dxa"/>
            <w:bottom w:w="0" w:type="dxa"/>
          </w:tblCellMar>
        </w:tblPrEx>
        <w:trPr>
          <w:tblHeader/>
        </w:trPr>
        <w:tc>
          <w:tcPr>
            <w:tcW w:w="18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98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293"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8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98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68"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5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01"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92"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8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Мультипликативная функция</w:t>
            </w:r>
          </w:p>
        </w:tc>
        <w:tc>
          <w:tcPr>
            <w:tcW w:w="98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23.59842</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0.44814</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0.98147</w:t>
            </w:r>
          </w:p>
        </w:tc>
        <w:tc>
          <w:tcPr>
            <w:tcW w:w="1068"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0.67833</w:t>
            </w:r>
          </w:p>
        </w:tc>
        <w:tc>
          <w:tcPr>
            <w:tcW w:w="115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0.63598</w:t>
            </w:r>
          </w:p>
        </w:tc>
        <w:tc>
          <w:tcPr>
            <w:tcW w:w="1101"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0.14227</w:t>
            </w:r>
          </w:p>
        </w:tc>
        <w:tc>
          <w:tcPr>
            <w:tcW w:w="1192"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0.15157</w:t>
            </w:r>
          </w:p>
        </w:tc>
      </w:tr>
    </w:tbl>
    <w:p w:rsidR="00E85D42" w:rsidRDefault="008113B9">
      <w:pPr>
        <w:pStyle w:val="Standarduser"/>
        <w:spacing w:before="120" w:line="288" w:lineRule="auto"/>
        <w:jc w:val="both"/>
      </w:pPr>
      <w:r>
        <w:rPr>
          <w:b/>
        </w:rPr>
        <w:t xml:space="preserve">Земельные участки под </w:t>
      </w:r>
      <w:r>
        <w:rPr>
          <w:b/>
        </w:rPr>
        <w:t xml:space="preserve">садоводческое и </w:t>
      </w:r>
      <w:r>
        <w:rPr>
          <w:b/>
        </w:rPr>
        <w:t>огородническое использование</w:t>
      </w:r>
      <w:r>
        <w:rPr>
          <w:b/>
        </w:rPr>
        <w:t xml:space="preserve"> в городах РБ:</w:t>
      </w:r>
    </w:p>
    <w:p w:rsidR="00E85D42" w:rsidRDefault="008113B9">
      <w:pPr>
        <w:pStyle w:val="Standarduser"/>
        <w:tabs>
          <w:tab w:val="left" w:pos="1134"/>
          <w:tab w:val="left" w:pos="1701"/>
        </w:tabs>
        <w:spacing w:line="288" w:lineRule="auto"/>
        <w:ind w:left="720"/>
        <w:jc w:val="both"/>
      </w:pPr>
      <w:r>
        <w:t xml:space="preserve">Для расчета выбрана </w:t>
      </w:r>
      <w:r>
        <w:rPr>
          <w:b/>
        </w:rPr>
        <w:t>экспоненциальная модель.</w:t>
      </w:r>
    </w:p>
    <w:p w:rsidR="00E85D42" w:rsidRDefault="008113B9">
      <w:pPr>
        <w:pStyle w:val="Standarduser"/>
        <w:tabs>
          <w:tab w:val="left" w:pos="1134"/>
          <w:tab w:val="left" w:pos="1701"/>
        </w:tabs>
        <w:spacing w:line="288" w:lineRule="auto"/>
        <w:jc w:val="both"/>
        <w:rPr>
          <w:sz w:val="20"/>
          <w:szCs w:val="20"/>
        </w:rPr>
      </w:pPr>
      <w:r>
        <w:rPr>
          <w:sz w:val="20"/>
          <w:szCs w:val="20"/>
        </w:rPr>
        <w:t>УПКС = 7.891347279720777 * e^(0.5412022227149104*Численность населения в населенном пункте+1.9770643932666885*Расстояние до историко-культурного центра)</w:t>
      </w:r>
    </w:p>
    <w:p w:rsidR="00E85D42" w:rsidRDefault="008113B9">
      <w:pPr>
        <w:pStyle w:val="Standarduser"/>
        <w:jc w:val="right"/>
      </w:pPr>
      <w:r>
        <w:t xml:space="preserve">Таблица </w:t>
      </w:r>
      <w:r>
        <w:t>3.6.13.14</w:t>
      </w:r>
    </w:p>
    <w:tbl>
      <w:tblPr>
        <w:tblW w:w="5000" w:type="pct"/>
        <w:tblLayout w:type="fixed"/>
        <w:tblCellMar>
          <w:left w:w="10" w:type="dxa"/>
          <w:right w:w="10" w:type="dxa"/>
        </w:tblCellMar>
        <w:tblLook w:val="04A0" w:firstRow="1" w:lastRow="0" w:firstColumn="1" w:lastColumn="0" w:noHBand="0" w:noVBand="1"/>
      </w:tblPr>
      <w:tblGrid>
        <w:gridCol w:w="2845"/>
        <w:gridCol w:w="575"/>
        <w:gridCol w:w="4746"/>
        <w:gridCol w:w="1548"/>
      </w:tblGrid>
      <w:tr w:rsidR="00E85D42">
        <w:tblPrEx>
          <w:tblCellMar>
            <w:top w:w="0" w:type="dxa"/>
            <w:bottom w:w="0" w:type="dxa"/>
          </w:tblCellMar>
        </w:tblPrEx>
        <w:trPr>
          <w:trHeight w:val="540"/>
        </w:trPr>
        <w:tc>
          <w:tcPr>
            <w:tcW w:w="28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Ценообразующий фактор</w:t>
            </w:r>
          </w:p>
        </w:tc>
        <w:tc>
          <w:tcPr>
            <w:tcW w:w="5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t>№</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pStyle w:val="Standarduser"/>
              <w:jc w:val="center"/>
              <w:rPr>
                <w:sz w:val="22"/>
                <w:szCs w:val="22"/>
              </w:rPr>
            </w:pPr>
            <w:r>
              <w:rPr>
                <w:sz w:val="22"/>
                <w:szCs w:val="22"/>
              </w:rPr>
              <w:t>Формула для расчета</w:t>
            </w:r>
          </w:p>
          <w:p w:rsidR="00E85D42" w:rsidRDefault="008113B9">
            <w:r>
              <w:rPr>
                <w:color w:val="000000"/>
                <w:sz w:val="18"/>
                <w:szCs w:val="18"/>
              </w:rPr>
              <w:t>Y</w:t>
            </w:r>
            <w:r>
              <w:rPr>
                <w:sz w:val="18"/>
                <w:szCs w:val="18"/>
              </w:rPr>
              <w:t xml:space="preserve">  = 7.891347279720777 * e^(1.9770643932666885 * </w:t>
            </w:r>
            <w:r>
              <w:rPr>
                <w:sz w:val="18"/>
                <w:szCs w:val="18"/>
                <w:lang w:val="en-US"/>
              </w:rPr>
              <w:t>F</w:t>
            </w:r>
            <w:r>
              <w:rPr>
                <w:sz w:val="18"/>
                <w:szCs w:val="18"/>
              </w:rPr>
              <w:t>1 + 0.5412022227149104 * </w:t>
            </w:r>
            <w:r>
              <w:rPr>
                <w:sz w:val="18"/>
                <w:szCs w:val="18"/>
                <w:lang w:val="en-US"/>
              </w:rPr>
              <w:t>F</w:t>
            </w:r>
            <w:r>
              <w:rPr>
                <w:sz w:val="18"/>
                <w:szCs w:val="18"/>
              </w:rPr>
              <w:t>2)</w:t>
            </w:r>
          </w:p>
        </w:tc>
        <w:tc>
          <w:tcPr>
            <w:tcW w:w="154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Корреляция</w:t>
            </w:r>
          </w:p>
        </w:tc>
      </w:tr>
      <w:tr w:rsidR="00E85D42">
        <w:tblPrEx>
          <w:tblCellMar>
            <w:top w:w="0" w:type="dxa"/>
            <w:bottom w:w="0" w:type="dxa"/>
          </w:tblCellMar>
        </w:tblPrEx>
        <w:trPr>
          <w:trHeight w:val="315"/>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Расстояние до историко-культурного центра </w:t>
            </w:r>
          </w:p>
        </w:tc>
        <w:tc>
          <w:tcPr>
            <w:tcW w:w="5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2446.217222222222 / (1239.2380000000003 + X0)</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0.87</w:t>
            </w:r>
          </w:p>
        </w:tc>
      </w:tr>
      <w:tr w:rsidR="00E85D42">
        <w:tblPrEx>
          <w:tblCellMar>
            <w:top w:w="0" w:type="dxa"/>
            <w:bottom w:w="0" w:type="dxa"/>
          </w:tblCellMar>
        </w:tblPrEx>
        <w:trPr>
          <w:trHeight w:val="300"/>
        </w:trPr>
        <w:tc>
          <w:tcPr>
            <w:tcW w:w="284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 xml:space="preserve">Численность </w:t>
            </w:r>
            <w:r>
              <w:rPr>
                <w:color w:val="000000"/>
              </w:rPr>
              <w:t>населения в населенном пункте </w:t>
            </w:r>
          </w:p>
        </w:tc>
        <w:tc>
          <w:tcPr>
            <w:tcW w:w="5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7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(69020.6 + X1) / 149658.27777777778</w:t>
            </w:r>
          </w:p>
        </w:tc>
        <w:tc>
          <w:tcPr>
            <w:tcW w:w="154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0.12</w:t>
            </w:r>
          </w:p>
        </w:tc>
      </w:tr>
    </w:tbl>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Таблица 3.6.13.15</w:t>
      </w:r>
    </w:p>
    <w:tbl>
      <w:tblPr>
        <w:tblW w:w="5000" w:type="pct"/>
        <w:tblCellMar>
          <w:left w:w="10" w:type="dxa"/>
          <w:right w:w="10" w:type="dxa"/>
        </w:tblCellMar>
        <w:tblLook w:val="04A0" w:firstRow="1" w:lastRow="0" w:firstColumn="1" w:lastColumn="0" w:noHBand="0" w:noVBand="1"/>
      </w:tblPr>
      <w:tblGrid>
        <w:gridCol w:w="1726"/>
        <w:gridCol w:w="1047"/>
        <w:gridCol w:w="1113"/>
        <w:gridCol w:w="1181"/>
        <w:gridCol w:w="1150"/>
        <w:gridCol w:w="1181"/>
        <w:gridCol w:w="1135"/>
        <w:gridCol w:w="1181"/>
      </w:tblGrid>
      <w:tr w:rsidR="00E85D42">
        <w:tblPrEx>
          <w:tblCellMar>
            <w:top w:w="0" w:type="dxa"/>
            <w:bottom w:w="0" w:type="dxa"/>
          </w:tblCellMar>
        </w:tblPrEx>
        <w:trPr>
          <w:trHeight w:val="645"/>
        </w:trPr>
        <w:tc>
          <w:tcPr>
            <w:tcW w:w="1726" w:type="dxa"/>
            <w:tcBorders>
              <w:top w:val="single" w:sz="4" w:space="0" w:color="000000"/>
              <w:left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Функция</w:t>
            </w:r>
          </w:p>
        </w:tc>
        <w:tc>
          <w:tcPr>
            <w:tcW w:w="1047" w:type="dxa"/>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F-критерий Фишера</w:t>
            </w:r>
          </w:p>
        </w:tc>
        <w:tc>
          <w:tcPr>
            <w:tcW w:w="2294" w:type="dxa"/>
            <w:gridSpan w:val="2"/>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Т-критерий Стьюдента</w:t>
            </w:r>
          </w:p>
        </w:tc>
        <w:tc>
          <w:tcPr>
            <w:tcW w:w="2331" w:type="dxa"/>
            <w:gridSpan w:val="2"/>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Коэффициент детерминации</w:t>
            </w:r>
          </w:p>
        </w:tc>
        <w:tc>
          <w:tcPr>
            <w:tcW w:w="2316" w:type="dxa"/>
            <w:gridSpan w:val="2"/>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Средняя относительная погрешность</w:t>
            </w:r>
          </w:p>
        </w:tc>
      </w:tr>
      <w:tr w:rsidR="00E85D42">
        <w:tblPrEx>
          <w:tblCellMar>
            <w:top w:w="0" w:type="dxa"/>
            <w:bottom w:w="0" w:type="dxa"/>
          </w:tblCellMar>
        </w:tblPrEx>
        <w:trPr>
          <w:trHeight w:val="495"/>
        </w:trPr>
        <w:tc>
          <w:tcPr>
            <w:tcW w:w="1726" w:type="dxa"/>
            <w:tcBorders>
              <w:left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Выборка</w:t>
            </w:r>
          </w:p>
        </w:tc>
        <w:tc>
          <w:tcPr>
            <w:tcW w:w="1047"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 </w:t>
            </w:r>
          </w:p>
        </w:tc>
        <w:tc>
          <w:tcPr>
            <w:tcW w:w="1113"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Обучающая</w:t>
            </w:r>
          </w:p>
        </w:tc>
        <w:tc>
          <w:tcPr>
            <w:tcW w:w="1181"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Контрольная</w:t>
            </w:r>
          </w:p>
        </w:tc>
        <w:tc>
          <w:tcPr>
            <w:tcW w:w="1150"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Обучающая</w:t>
            </w:r>
          </w:p>
        </w:tc>
        <w:tc>
          <w:tcPr>
            <w:tcW w:w="1181"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Контрольная</w:t>
            </w:r>
          </w:p>
        </w:tc>
        <w:tc>
          <w:tcPr>
            <w:tcW w:w="1135"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Обучающая</w:t>
            </w:r>
          </w:p>
        </w:tc>
        <w:tc>
          <w:tcPr>
            <w:tcW w:w="1181"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Контрольная</w:t>
            </w:r>
          </w:p>
        </w:tc>
      </w:tr>
      <w:tr w:rsidR="00E85D42">
        <w:tblPrEx>
          <w:tblCellMar>
            <w:top w:w="0" w:type="dxa"/>
            <w:bottom w:w="0" w:type="dxa"/>
          </w:tblCellMar>
        </w:tblPrEx>
        <w:trPr>
          <w:trHeight w:val="495"/>
        </w:trPr>
        <w:tc>
          <w:tcPr>
            <w:tcW w:w="1726" w:type="dxa"/>
            <w:tcBorders>
              <w:left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right"/>
              <w:rPr>
                <w:color w:val="212529"/>
                <w:sz w:val="15"/>
                <w:szCs w:val="15"/>
              </w:rPr>
            </w:pPr>
            <w:r>
              <w:rPr>
                <w:color w:val="212529"/>
                <w:sz w:val="15"/>
                <w:szCs w:val="15"/>
              </w:rPr>
              <w:t xml:space="preserve">Экспоненциальная </w:t>
            </w:r>
          </w:p>
        </w:tc>
        <w:tc>
          <w:tcPr>
            <w:tcW w:w="1047"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21.85673</w:t>
            </w:r>
          </w:p>
        </w:tc>
        <w:tc>
          <w:tcPr>
            <w:tcW w:w="1113"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0.24267</w:t>
            </w:r>
          </w:p>
        </w:tc>
        <w:tc>
          <w:tcPr>
            <w:tcW w:w="1181"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1.27696</w:t>
            </w:r>
          </w:p>
        </w:tc>
        <w:tc>
          <w:tcPr>
            <w:tcW w:w="1150"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0.89599</w:t>
            </w:r>
          </w:p>
        </w:tc>
        <w:tc>
          <w:tcPr>
            <w:tcW w:w="1181"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0.81601</w:t>
            </w:r>
          </w:p>
        </w:tc>
        <w:tc>
          <w:tcPr>
            <w:tcW w:w="1135"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0.11776</w:t>
            </w:r>
          </w:p>
        </w:tc>
        <w:tc>
          <w:tcPr>
            <w:tcW w:w="1181"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0.19371</w:t>
            </w:r>
          </w:p>
        </w:tc>
      </w:tr>
    </w:tbl>
    <w:p w:rsidR="00E85D42" w:rsidRDefault="008113B9">
      <w:pPr>
        <w:pStyle w:val="Standarduser"/>
        <w:tabs>
          <w:tab w:val="left" w:pos="1418"/>
        </w:tabs>
        <w:spacing w:before="120" w:line="288" w:lineRule="auto"/>
        <w:jc w:val="both"/>
      </w:pPr>
      <w:r>
        <w:rPr>
          <w:b/>
        </w:rPr>
        <w:t xml:space="preserve">Земельные участки под </w:t>
      </w:r>
      <w:r>
        <w:rPr>
          <w:b/>
        </w:rPr>
        <w:t>садоводческое и огородническое использование</w:t>
      </w:r>
      <w:r>
        <w:rPr>
          <w:b/>
        </w:rPr>
        <w:t xml:space="preserve"> в г. Уфа:</w:t>
      </w:r>
    </w:p>
    <w:p w:rsidR="00E85D42" w:rsidRDefault="008113B9">
      <w:pPr>
        <w:pStyle w:val="Standarduser"/>
        <w:tabs>
          <w:tab w:val="left" w:pos="1134"/>
          <w:tab w:val="left" w:pos="1701"/>
        </w:tabs>
        <w:spacing w:line="288" w:lineRule="auto"/>
        <w:ind w:left="720"/>
        <w:jc w:val="both"/>
      </w:pPr>
      <w:r>
        <w:t xml:space="preserve">Для расчета выбрана </w:t>
      </w:r>
      <w:r>
        <w:rPr>
          <w:b/>
        </w:rPr>
        <w:t>экспоненциальная модель.</w:t>
      </w:r>
    </w:p>
    <w:p w:rsidR="00E85D42" w:rsidRDefault="008113B9">
      <w:pPr>
        <w:pStyle w:val="Standarduser"/>
        <w:tabs>
          <w:tab w:val="left" w:pos="1134"/>
        </w:tabs>
        <w:spacing w:before="120" w:line="288" w:lineRule="auto"/>
        <w:jc w:val="both"/>
        <w:rPr>
          <w:sz w:val="20"/>
          <w:szCs w:val="20"/>
        </w:rPr>
      </w:pPr>
      <w:r>
        <w:rPr>
          <w:sz w:val="20"/>
          <w:szCs w:val="20"/>
        </w:rPr>
        <w:t>УПКС = 94.9055759170776 * e^(-0.17466711149675973*Расстояние до историко-культурного центра+0.8199830570320774*Расстояние до общественно-делового центра+0.5122835027260066*Расстояние до остановок общественного транспорта)</w:t>
      </w:r>
    </w:p>
    <w:p w:rsidR="00E85D42" w:rsidRDefault="008113B9">
      <w:pPr>
        <w:pStyle w:val="Standarduser"/>
        <w:jc w:val="right"/>
      </w:pPr>
      <w:r>
        <w:t xml:space="preserve">Таблица </w:t>
      </w:r>
      <w:r>
        <w:t>3.6.13.16</w:t>
      </w:r>
    </w:p>
    <w:tbl>
      <w:tblPr>
        <w:tblW w:w="5000" w:type="pct"/>
        <w:tblLayout w:type="fixed"/>
        <w:tblCellMar>
          <w:left w:w="10" w:type="dxa"/>
          <w:right w:w="10" w:type="dxa"/>
        </w:tblCellMar>
        <w:tblLook w:val="04A0" w:firstRow="1" w:lastRow="0" w:firstColumn="1" w:lastColumn="0" w:noHBand="0" w:noVBand="1"/>
      </w:tblPr>
      <w:tblGrid>
        <w:gridCol w:w="2844"/>
        <w:gridCol w:w="575"/>
        <w:gridCol w:w="4892"/>
        <w:gridCol w:w="1403"/>
      </w:tblGrid>
      <w:tr w:rsidR="00E85D42">
        <w:tblPrEx>
          <w:tblCellMar>
            <w:top w:w="0" w:type="dxa"/>
            <w:bottom w:w="0" w:type="dxa"/>
          </w:tblCellMar>
        </w:tblPrEx>
        <w:trPr>
          <w:trHeight w:val="645"/>
        </w:trPr>
        <w:tc>
          <w:tcPr>
            <w:tcW w:w="28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5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t>№</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 = 94.9055759170776 * e</w:t>
            </w:r>
            <w:r>
              <w:rPr>
                <w:color w:val="000000"/>
                <w:sz w:val="18"/>
                <w:szCs w:val="18"/>
                <w:vertAlign w:val="superscript"/>
              </w:rPr>
              <w:t xml:space="preserve">-0.17466711149675973 * </w:t>
            </w:r>
            <w:r>
              <w:rPr>
                <w:color w:val="000000"/>
                <w:sz w:val="18"/>
                <w:szCs w:val="18"/>
                <w:vertAlign w:val="superscript"/>
                <w:lang w:val="en-US"/>
              </w:rPr>
              <w:t>F</w:t>
            </w:r>
            <w:r>
              <w:rPr>
                <w:color w:val="000000"/>
                <w:sz w:val="18"/>
                <w:szCs w:val="18"/>
                <w:vertAlign w:val="superscript"/>
              </w:rPr>
              <w:t xml:space="preserve">1 + 0.8199830570320774 * </w:t>
            </w:r>
            <w:r>
              <w:rPr>
                <w:color w:val="000000"/>
                <w:sz w:val="18"/>
                <w:szCs w:val="18"/>
                <w:vertAlign w:val="superscript"/>
                <w:lang w:val="en-US"/>
              </w:rPr>
              <w:t>F</w:t>
            </w:r>
            <w:r>
              <w:rPr>
                <w:color w:val="000000"/>
                <w:sz w:val="18"/>
                <w:szCs w:val="18"/>
                <w:vertAlign w:val="superscript"/>
              </w:rPr>
              <w:t xml:space="preserve">2 + 0.5122835027260066 * </w:t>
            </w:r>
            <w:r>
              <w:rPr>
                <w:color w:val="000000"/>
                <w:sz w:val="18"/>
                <w:szCs w:val="18"/>
                <w:vertAlign w:val="superscript"/>
                <w:lang w:val="en-US"/>
              </w:rPr>
              <w:t>F</w:t>
            </w:r>
            <w:r>
              <w:rPr>
                <w:color w:val="000000"/>
                <w:sz w:val="18"/>
                <w:szCs w:val="18"/>
                <w:vertAlign w:val="superscript"/>
              </w:rPr>
              <w:t>3</w:t>
            </w:r>
          </w:p>
        </w:tc>
        <w:tc>
          <w:tcPr>
            <w:tcW w:w="140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330"/>
        </w:trPr>
        <w:tc>
          <w:tcPr>
            <w:tcW w:w="284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Расстояние до историко-культурного центра</w:t>
            </w:r>
          </w:p>
        </w:tc>
        <w:tc>
          <w:tcPr>
            <w:tcW w:w="5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rFonts w:ascii="Helvetica" w:hAnsi="Helvetica"/>
                <w:color w:val="212529"/>
              </w:rPr>
              <w:t>13099.026904761904 / (3915.646 + </w:t>
            </w:r>
            <w:r>
              <w:rPr>
                <w:rFonts w:ascii="Helvetica" w:hAnsi="Helvetica"/>
                <w:b/>
                <w:bCs/>
                <w:color w:val="212529"/>
              </w:rPr>
              <w:t>X</w:t>
            </w:r>
            <w:r>
              <w:rPr>
                <w:rFonts w:ascii="Helvetica" w:hAnsi="Helvetica"/>
                <w:b/>
                <w:bCs/>
                <w:color w:val="212529"/>
                <w:sz w:val="18"/>
                <w:szCs w:val="18"/>
                <w:vertAlign w:val="subscript"/>
              </w:rPr>
              <w:t>0</w:t>
            </w:r>
            <w:r>
              <w:rPr>
                <w:rFonts w:ascii="Helvetica" w:hAnsi="Helvetica"/>
                <w:color w:val="212529"/>
              </w:rPr>
              <w:t>)</w:t>
            </w:r>
          </w:p>
        </w:tc>
        <w:tc>
          <w:tcPr>
            <w:tcW w:w="140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lang w:val="en-US"/>
              </w:rPr>
            </w:pPr>
            <w:r>
              <w:rPr>
                <w:color w:val="000000"/>
                <w:lang w:val="en-US"/>
              </w:rPr>
              <w:t>0.55</w:t>
            </w:r>
          </w:p>
        </w:tc>
      </w:tr>
      <w:tr w:rsidR="00E85D42">
        <w:tblPrEx>
          <w:tblCellMar>
            <w:top w:w="0" w:type="dxa"/>
            <w:bottom w:w="0" w:type="dxa"/>
          </w:tblCellMar>
        </w:tblPrEx>
        <w:trPr>
          <w:trHeight w:val="525"/>
        </w:trPr>
        <w:tc>
          <w:tcPr>
            <w:tcW w:w="284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Расстояние до общественно-делового центра</w:t>
            </w:r>
          </w:p>
        </w:tc>
        <w:tc>
          <w:tcPr>
            <w:tcW w:w="5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rFonts w:ascii="Helvetica" w:hAnsi="Helvetica"/>
                <w:color w:val="212529"/>
              </w:rPr>
              <w:t>5305.772142857142 / (2234.6400000000003 + </w:t>
            </w:r>
            <w:r>
              <w:rPr>
                <w:rFonts w:ascii="Helvetica" w:hAnsi="Helvetica"/>
                <w:b/>
                <w:bCs/>
                <w:color w:val="212529"/>
              </w:rPr>
              <w:t>X</w:t>
            </w:r>
            <w:r>
              <w:rPr>
                <w:rFonts w:ascii="Helvetica" w:hAnsi="Helvetica"/>
                <w:b/>
                <w:bCs/>
                <w:color w:val="212529"/>
                <w:sz w:val="18"/>
                <w:szCs w:val="18"/>
                <w:vertAlign w:val="subscript"/>
              </w:rPr>
              <w:t>1</w:t>
            </w:r>
            <w:r>
              <w:rPr>
                <w:rFonts w:ascii="Helvetica" w:hAnsi="Helvetica"/>
                <w:color w:val="212529"/>
              </w:rPr>
              <w:t>)</w:t>
            </w:r>
          </w:p>
        </w:tc>
        <w:tc>
          <w:tcPr>
            <w:tcW w:w="140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lang w:val="en-US"/>
              </w:rPr>
            </w:pPr>
            <w:r>
              <w:rPr>
                <w:color w:val="000000"/>
                <w:lang w:val="en-US"/>
              </w:rPr>
              <w:t>0.82</w:t>
            </w:r>
          </w:p>
        </w:tc>
      </w:tr>
      <w:tr w:rsidR="00E85D42">
        <w:tblPrEx>
          <w:tblCellMar>
            <w:top w:w="0" w:type="dxa"/>
            <w:bottom w:w="0" w:type="dxa"/>
          </w:tblCellMar>
        </w:tblPrEx>
        <w:trPr>
          <w:trHeight w:val="300"/>
        </w:trPr>
        <w:tc>
          <w:tcPr>
            <w:tcW w:w="2844"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Расстояние до остановок общественного транспорта</w:t>
            </w:r>
          </w:p>
        </w:tc>
        <w:tc>
          <w:tcPr>
            <w:tcW w:w="575" w:type="dxa"/>
            <w:tcBorders>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pPr>
            <w:r>
              <w:rPr>
                <w:color w:val="000000"/>
              </w:rPr>
              <w:t>F</w:t>
            </w:r>
            <w:r>
              <w:rPr>
                <w:color w:val="000000"/>
                <w:lang w:val="en-US"/>
              </w:rPr>
              <w:t>3</w:t>
            </w:r>
          </w:p>
        </w:tc>
        <w:tc>
          <w:tcPr>
            <w:tcW w:w="48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rFonts w:ascii="Helvetica" w:hAnsi="Helvetica"/>
                <w:color w:val="212529"/>
                <w:shd w:val="clear" w:color="auto" w:fill="F4F7FA"/>
              </w:rPr>
              <w:t>1866.9119047619047 / (743.224 + </w:t>
            </w:r>
            <w:r>
              <w:rPr>
                <w:rFonts w:ascii="Helvetica" w:hAnsi="Helvetica"/>
                <w:b/>
                <w:bCs/>
                <w:color w:val="212529"/>
                <w:shd w:val="clear" w:color="auto" w:fill="F4F7FA"/>
              </w:rPr>
              <w:t>X</w:t>
            </w:r>
            <w:r>
              <w:rPr>
                <w:rFonts w:ascii="Helvetica" w:hAnsi="Helvetica"/>
                <w:b/>
                <w:bCs/>
                <w:color w:val="212529"/>
                <w:sz w:val="18"/>
                <w:szCs w:val="18"/>
                <w:shd w:val="clear" w:color="auto" w:fill="F4F7FA"/>
                <w:vertAlign w:val="subscript"/>
              </w:rPr>
              <w:t>2</w:t>
            </w:r>
            <w:r>
              <w:rPr>
                <w:rFonts w:ascii="Helvetica" w:hAnsi="Helvetica"/>
                <w:color w:val="212529"/>
                <w:shd w:val="clear" w:color="auto" w:fill="F4F7FA"/>
              </w:rPr>
              <w:t>)</w:t>
            </w:r>
          </w:p>
        </w:tc>
        <w:tc>
          <w:tcPr>
            <w:tcW w:w="140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lang w:val="en-US"/>
              </w:rPr>
            </w:pPr>
            <w:r>
              <w:rPr>
                <w:color w:val="000000"/>
                <w:lang w:val="en-US"/>
              </w:rPr>
              <w:t>0.34</w:t>
            </w:r>
          </w:p>
        </w:tc>
      </w:tr>
    </w:tbl>
    <w:p w:rsidR="00E85D42" w:rsidRDefault="008113B9">
      <w:pPr>
        <w:pStyle w:val="Standarduser"/>
        <w:jc w:val="both"/>
      </w:pPr>
      <w:r>
        <w:t>Далее в таблице приведен анализ качества модели:</w:t>
      </w:r>
    </w:p>
    <w:p w:rsidR="00E85D42" w:rsidRDefault="008113B9">
      <w:pPr>
        <w:pStyle w:val="Standarduser"/>
        <w:jc w:val="right"/>
      </w:pPr>
      <w:r>
        <w:t xml:space="preserve">Таблица </w:t>
      </w:r>
      <w:r>
        <w:t>3.6.13.17</w:t>
      </w:r>
    </w:p>
    <w:tbl>
      <w:tblPr>
        <w:tblW w:w="9528" w:type="dxa"/>
        <w:tblCellMar>
          <w:left w:w="10" w:type="dxa"/>
          <w:right w:w="10" w:type="dxa"/>
        </w:tblCellMar>
        <w:tblLook w:val="04A0" w:firstRow="1" w:lastRow="0" w:firstColumn="1" w:lastColumn="0" w:noHBand="0" w:noVBand="1"/>
      </w:tblPr>
      <w:tblGrid>
        <w:gridCol w:w="1737"/>
        <w:gridCol w:w="1023"/>
        <w:gridCol w:w="1050"/>
        <w:gridCol w:w="1137"/>
        <w:gridCol w:w="1076"/>
        <w:gridCol w:w="1166"/>
        <w:gridCol w:w="1123"/>
        <w:gridCol w:w="1216"/>
      </w:tblGrid>
      <w:tr w:rsidR="00E85D42">
        <w:tblPrEx>
          <w:tblCellMar>
            <w:top w:w="0" w:type="dxa"/>
            <w:bottom w:w="0" w:type="dxa"/>
          </w:tblCellMar>
        </w:tblPrEx>
        <w:trPr>
          <w:tblHeader/>
        </w:trPr>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F-критерий Фишера</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Т-критерий Стьюдента</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Коэффициент детерминации</w:t>
            </w:r>
          </w:p>
        </w:tc>
        <w:tc>
          <w:tcPr>
            <w:tcW w:w="2339" w:type="dxa"/>
            <w:gridSpan w:val="2"/>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vAlign w:val="bottom"/>
          </w:tcPr>
          <w:p w:rsidR="00E85D42" w:rsidRDefault="008113B9">
            <w:pPr>
              <w:spacing w:before="100" w:after="100"/>
              <w:jc w:val="center"/>
              <w:rPr>
                <w:b/>
                <w:bCs/>
                <w:color w:val="212529"/>
              </w:rPr>
            </w:pPr>
            <w:r>
              <w:rPr>
                <w:b/>
                <w:bCs/>
                <w:color w:val="212529"/>
              </w:rPr>
              <w:t>Средняя относительная погрешность</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rPr>
                <w:b/>
                <w:bCs/>
                <w:color w:val="212529"/>
              </w:rPr>
            </w:pPr>
          </w:p>
        </w:tc>
        <w:tc>
          <w:tcPr>
            <w:tcW w:w="10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E85D42">
            <w:pPr>
              <w:spacing w:before="100" w:after="100"/>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07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16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c>
          <w:tcPr>
            <w:tcW w:w="1123"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Обучающая</w:t>
            </w:r>
          </w:p>
        </w:tc>
        <w:tc>
          <w:tcPr>
            <w:tcW w:w="1216"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center"/>
              <w:rPr>
                <w:color w:val="212529"/>
              </w:rPr>
            </w:pPr>
            <w:r>
              <w:rPr>
                <w:color w:val="212529"/>
              </w:rPr>
              <w:t>Контрольная</w:t>
            </w:r>
          </w:p>
        </w:tc>
      </w:tr>
      <w:tr w:rsidR="00E85D42">
        <w:tblPrEx>
          <w:tblCellMar>
            <w:top w:w="0" w:type="dxa"/>
            <w:bottom w:w="0" w:type="dxa"/>
          </w:tblCellMar>
        </w:tblPrEx>
        <w:tc>
          <w:tcPr>
            <w:tcW w:w="1737" w:type="dxa"/>
            <w:tcBorders>
              <w:top w:val="single" w:sz="4" w:space="0" w:color="000000"/>
              <w:left w:val="single" w:sz="4" w:space="0" w:color="000000"/>
              <w:bottom w:val="single" w:sz="4" w:space="0" w:color="000000"/>
              <w:right w:val="single" w:sz="4" w:space="0" w:color="000000"/>
            </w:tcBorders>
            <w:shd w:val="clear" w:color="auto" w:fill="F4F7FA"/>
            <w:tcMar>
              <w:top w:w="15" w:type="dxa"/>
              <w:left w:w="15" w:type="dxa"/>
              <w:bottom w:w="15" w:type="dxa"/>
              <w:right w:w="15" w:type="dxa"/>
            </w:tcMar>
          </w:tcPr>
          <w:p w:rsidR="00E85D42" w:rsidRDefault="008113B9">
            <w:pPr>
              <w:spacing w:before="100" w:after="100"/>
              <w:jc w:val="right"/>
              <w:rPr>
                <w:color w:val="212529"/>
              </w:rPr>
            </w:pPr>
            <w:r>
              <w:rPr>
                <w:color w:val="212529"/>
              </w:rPr>
              <w:t>Экспоненциальная функция</w:t>
            </w:r>
          </w:p>
        </w:tc>
        <w:tc>
          <w:tcPr>
            <w:tcW w:w="10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17.1386</w:t>
            </w:r>
          </w:p>
        </w:tc>
        <w:tc>
          <w:tcPr>
            <w:tcW w:w="1050"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0.40628</w:t>
            </w:r>
          </w:p>
        </w:tc>
        <w:tc>
          <w:tcPr>
            <w:tcW w:w="1137"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-0.5167</w:t>
            </w:r>
          </w:p>
        </w:tc>
        <w:tc>
          <w:tcPr>
            <w:tcW w:w="107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0.84831</w:t>
            </w:r>
          </w:p>
        </w:tc>
        <w:tc>
          <w:tcPr>
            <w:tcW w:w="116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0.6195</w:t>
            </w:r>
          </w:p>
        </w:tc>
        <w:tc>
          <w:tcPr>
            <w:tcW w:w="1123"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0.13767</w:t>
            </w:r>
          </w:p>
        </w:tc>
        <w:tc>
          <w:tcPr>
            <w:tcW w:w="1216" w:type="dxa"/>
            <w:tcBorders>
              <w:top w:val="single" w:sz="4" w:space="0" w:color="000000"/>
              <w:left w:val="single" w:sz="4" w:space="0" w:color="000000"/>
              <w:bottom w:val="single" w:sz="4" w:space="0" w:color="000000"/>
              <w:right w:val="single" w:sz="4" w:space="0" w:color="000000"/>
            </w:tcBorders>
            <w:shd w:val="clear" w:color="auto" w:fill="C3E6CB"/>
            <w:tcMar>
              <w:top w:w="15" w:type="dxa"/>
              <w:left w:w="15" w:type="dxa"/>
              <w:bottom w:w="15" w:type="dxa"/>
              <w:right w:w="15" w:type="dxa"/>
            </w:tcMar>
          </w:tcPr>
          <w:p w:rsidR="00E85D42" w:rsidRDefault="008113B9">
            <w:pPr>
              <w:spacing w:before="100" w:after="100"/>
              <w:jc w:val="right"/>
              <w:rPr>
                <w:color w:val="212529"/>
              </w:rPr>
            </w:pPr>
            <w:r>
              <w:rPr>
                <w:color w:val="212529"/>
              </w:rPr>
              <w:t>0.24515</w:t>
            </w:r>
          </w:p>
        </w:tc>
      </w:tr>
    </w:tbl>
    <w:p w:rsidR="00E85D42" w:rsidRDefault="008113B9">
      <w:pPr>
        <w:pStyle w:val="Standarduser"/>
        <w:tabs>
          <w:tab w:val="left" w:pos="1276"/>
        </w:tabs>
        <w:spacing w:before="120" w:line="288" w:lineRule="auto"/>
        <w:jc w:val="both"/>
      </w:pPr>
      <w:r>
        <w:rPr>
          <w:b/>
        </w:rPr>
        <w:t xml:space="preserve">Земельные участки под </w:t>
      </w:r>
      <w:r>
        <w:rPr>
          <w:b/>
        </w:rPr>
        <w:t>садоводческое и огородническое использование</w:t>
      </w:r>
      <w:r>
        <w:rPr>
          <w:b/>
        </w:rPr>
        <w:t xml:space="preserve"> в сельских НП:</w:t>
      </w:r>
    </w:p>
    <w:p w:rsidR="00E85D42" w:rsidRDefault="008113B9">
      <w:pPr>
        <w:pStyle w:val="Standarduser"/>
        <w:tabs>
          <w:tab w:val="left" w:pos="1134"/>
          <w:tab w:val="left" w:pos="1701"/>
        </w:tabs>
        <w:spacing w:line="288" w:lineRule="auto"/>
        <w:ind w:left="720"/>
        <w:jc w:val="both"/>
      </w:pPr>
      <w:r>
        <w:t xml:space="preserve">Для расчета выбрана </w:t>
      </w:r>
      <w:r>
        <w:rPr>
          <w:b/>
        </w:rPr>
        <w:t>экспоненциальная модель.</w:t>
      </w:r>
    </w:p>
    <w:p w:rsidR="00E85D42" w:rsidRDefault="008113B9">
      <w:pPr>
        <w:pStyle w:val="affffc"/>
        <w:jc w:val="both"/>
        <w:rPr>
          <w:rFonts w:ascii="Times New Roman" w:hAnsi="Times New Roman"/>
          <w:sz w:val="20"/>
          <w:szCs w:val="20"/>
        </w:rPr>
      </w:pPr>
      <w:r>
        <w:rPr>
          <w:rFonts w:ascii="Times New Roman" w:hAnsi="Times New Roman"/>
          <w:sz w:val="20"/>
          <w:szCs w:val="20"/>
        </w:rPr>
        <w:t xml:space="preserve">УПКС = 7.542069965327394 * e^(-0.04524646489456596*Численность населения в МР, ГО+8.182395213311867*Расстояние </w:t>
      </w:r>
      <w:r>
        <w:rPr>
          <w:rFonts w:ascii="Times New Roman" w:hAnsi="Times New Roman"/>
          <w:sz w:val="20"/>
          <w:szCs w:val="20"/>
        </w:rPr>
        <w:t>от НП до столицы субъекта РФ+0.03988443040153866*Расстояние от НП до центра МР, ГО)</w:t>
      </w:r>
    </w:p>
    <w:p w:rsidR="00E85D42" w:rsidRDefault="008113B9">
      <w:pPr>
        <w:pStyle w:val="Standarduser"/>
        <w:jc w:val="right"/>
      </w:pPr>
      <w:r>
        <w:t>Таблица 3.6.13.18</w:t>
      </w:r>
    </w:p>
    <w:tbl>
      <w:tblPr>
        <w:tblW w:w="4999" w:type="pct"/>
        <w:tblLayout w:type="fixed"/>
        <w:tblCellMar>
          <w:left w:w="10" w:type="dxa"/>
          <w:right w:w="10" w:type="dxa"/>
        </w:tblCellMar>
        <w:tblLook w:val="04A0" w:firstRow="1" w:lastRow="0" w:firstColumn="1" w:lastColumn="0" w:noHBand="0" w:noVBand="1"/>
      </w:tblPr>
      <w:tblGrid>
        <w:gridCol w:w="2774"/>
        <w:gridCol w:w="647"/>
        <w:gridCol w:w="4891"/>
        <w:gridCol w:w="1400"/>
      </w:tblGrid>
      <w:tr w:rsidR="00E85D42">
        <w:tblPrEx>
          <w:tblCellMar>
            <w:top w:w="0" w:type="dxa"/>
            <w:bottom w:w="0" w:type="dxa"/>
          </w:tblCellMar>
        </w:tblPrEx>
        <w:trPr>
          <w:trHeight w:val="540"/>
        </w:trPr>
        <w:tc>
          <w:tcPr>
            <w:tcW w:w="27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Ценообразующий фактор</w:t>
            </w:r>
          </w:p>
        </w:tc>
        <w:tc>
          <w:tcPr>
            <w:tcW w:w="64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pPr>
            <w:r>
              <w:t>№</w:t>
            </w:r>
          </w:p>
        </w:tc>
        <w:tc>
          <w:tcPr>
            <w:tcW w:w="4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jc w:val="center"/>
              <w:rPr>
                <w:sz w:val="22"/>
                <w:szCs w:val="22"/>
              </w:rPr>
            </w:pPr>
            <w:r>
              <w:rPr>
                <w:sz w:val="22"/>
                <w:szCs w:val="22"/>
              </w:rPr>
              <w:t>Формула для расчета</w:t>
            </w:r>
          </w:p>
          <w:p w:rsidR="00E85D42" w:rsidRDefault="008113B9">
            <w:pPr>
              <w:jc w:val="center"/>
            </w:pPr>
            <w:r>
              <w:rPr>
                <w:color w:val="000000"/>
                <w:sz w:val="18"/>
                <w:szCs w:val="18"/>
              </w:rPr>
              <w:t>Y</w:t>
            </w:r>
            <w:r>
              <w:rPr>
                <w:sz w:val="18"/>
                <w:szCs w:val="18"/>
              </w:rPr>
              <w:t xml:space="preserve">  = 7.542069965327394 * e^(8.182395213311867 * </w:t>
            </w:r>
            <w:r>
              <w:rPr>
                <w:sz w:val="18"/>
                <w:szCs w:val="18"/>
                <w:lang w:val="en-US"/>
              </w:rPr>
              <w:t>F</w:t>
            </w:r>
            <w:r>
              <w:rPr>
                <w:sz w:val="18"/>
                <w:szCs w:val="18"/>
              </w:rPr>
              <w:t>1 + 0.03988443040153866 * </w:t>
            </w:r>
            <w:r>
              <w:rPr>
                <w:sz w:val="18"/>
                <w:szCs w:val="18"/>
                <w:lang w:val="en-US"/>
              </w:rPr>
              <w:t>F</w:t>
            </w:r>
            <w:r>
              <w:rPr>
                <w:sz w:val="18"/>
                <w:szCs w:val="18"/>
              </w:rPr>
              <w:t>2 -0.04524646489456596 * </w:t>
            </w:r>
            <w:r>
              <w:rPr>
                <w:sz w:val="18"/>
                <w:szCs w:val="18"/>
                <w:lang w:val="en-US"/>
              </w:rPr>
              <w:t>F</w:t>
            </w:r>
            <w:r>
              <w:rPr>
                <w:sz w:val="18"/>
                <w:szCs w:val="18"/>
              </w:rPr>
              <w:t>3)</w:t>
            </w:r>
          </w:p>
        </w:tc>
        <w:tc>
          <w:tcPr>
            <w:tcW w:w="140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rPr>
            </w:pPr>
            <w:r>
              <w:rPr>
                <w:color w:val="000000"/>
              </w:rPr>
              <w:t>Корреляция</w:t>
            </w:r>
          </w:p>
        </w:tc>
      </w:tr>
      <w:tr w:rsidR="00E85D42">
        <w:tblPrEx>
          <w:tblCellMar>
            <w:top w:w="0" w:type="dxa"/>
            <w:bottom w:w="0" w:type="dxa"/>
          </w:tblCellMar>
        </w:tblPrEx>
        <w:trPr>
          <w:trHeight w:val="330"/>
        </w:trPr>
        <w:tc>
          <w:tcPr>
            <w:tcW w:w="27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Расстояние от НП до столицы субъекта РФ </w:t>
            </w:r>
          </w:p>
        </w:tc>
        <w:tc>
          <w:tcPr>
            <w:tcW w:w="64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F1</w:t>
            </w:r>
          </w:p>
        </w:tc>
        <w:tc>
          <w:tcPr>
            <w:tcW w:w="4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38.80434782608695 / (74.8 + X0)</w:t>
            </w:r>
          </w:p>
        </w:tc>
        <w:tc>
          <w:tcPr>
            <w:tcW w:w="140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0.85</w:t>
            </w:r>
          </w:p>
        </w:tc>
      </w:tr>
      <w:tr w:rsidR="00E85D42">
        <w:tblPrEx>
          <w:tblCellMar>
            <w:top w:w="0" w:type="dxa"/>
            <w:bottom w:w="0" w:type="dxa"/>
          </w:tblCellMar>
        </w:tblPrEx>
        <w:trPr>
          <w:trHeight w:val="510"/>
        </w:trPr>
        <w:tc>
          <w:tcPr>
            <w:tcW w:w="27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Расстояние от НП до центра МР, ГО </w:t>
            </w:r>
          </w:p>
        </w:tc>
        <w:tc>
          <w:tcPr>
            <w:tcW w:w="64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color w:val="000000"/>
              </w:rPr>
            </w:pPr>
            <w:r>
              <w:rPr>
                <w:color w:val="000000"/>
              </w:rPr>
              <w:t>F2</w:t>
            </w:r>
          </w:p>
        </w:tc>
        <w:tc>
          <w:tcPr>
            <w:tcW w:w="4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31.065217391304348 / (14 + X1)</w:t>
            </w:r>
          </w:p>
        </w:tc>
        <w:tc>
          <w:tcPr>
            <w:tcW w:w="140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0.02</w:t>
            </w:r>
          </w:p>
        </w:tc>
      </w:tr>
      <w:tr w:rsidR="00E85D42">
        <w:tblPrEx>
          <w:tblCellMar>
            <w:top w:w="0" w:type="dxa"/>
            <w:bottom w:w="0" w:type="dxa"/>
          </w:tblCellMar>
        </w:tblPrEx>
        <w:trPr>
          <w:trHeight w:val="300"/>
        </w:trPr>
        <w:tc>
          <w:tcPr>
            <w:tcW w:w="27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Численность населения в МР, ГО </w:t>
            </w:r>
          </w:p>
        </w:tc>
        <w:tc>
          <w:tcPr>
            <w:tcW w:w="64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5D42" w:rsidRDefault="008113B9">
            <w:pPr>
              <w:jc w:val="center"/>
            </w:pPr>
            <w:r>
              <w:rPr>
                <w:color w:val="000000"/>
              </w:rPr>
              <w:t>F</w:t>
            </w:r>
            <w:r>
              <w:rPr>
                <w:color w:val="000000"/>
                <w:lang w:val="en-US"/>
              </w:rPr>
              <w:t>3</w:t>
            </w:r>
          </w:p>
        </w:tc>
        <w:tc>
          <w:tcPr>
            <w:tcW w:w="48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(26876.4 + X2) / 85273.78260869565</w:t>
            </w:r>
          </w:p>
        </w:tc>
        <w:tc>
          <w:tcPr>
            <w:tcW w:w="140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rPr>
                <w:color w:val="000000"/>
              </w:rPr>
            </w:pPr>
            <w:r>
              <w:rPr>
                <w:color w:val="000000"/>
              </w:rPr>
              <w:t>0.51</w:t>
            </w:r>
          </w:p>
        </w:tc>
      </w:tr>
    </w:tbl>
    <w:p w:rsidR="00E85D42" w:rsidRDefault="00E85D42">
      <w:pPr>
        <w:pStyle w:val="Standarduser"/>
        <w:jc w:val="both"/>
      </w:pPr>
    </w:p>
    <w:p w:rsidR="00E85D42" w:rsidRDefault="008113B9">
      <w:pPr>
        <w:pStyle w:val="Standarduser"/>
        <w:jc w:val="both"/>
      </w:pPr>
      <w:r>
        <w:t xml:space="preserve">Далее в </w:t>
      </w:r>
      <w:r>
        <w:t>таблице приведен анализ качества модели:</w:t>
      </w:r>
    </w:p>
    <w:p w:rsidR="00E85D42" w:rsidRDefault="008113B9">
      <w:pPr>
        <w:pStyle w:val="Standarduser"/>
        <w:jc w:val="right"/>
      </w:pPr>
      <w:r>
        <w:t>Таблица 3.6.13.19</w:t>
      </w:r>
    </w:p>
    <w:tbl>
      <w:tblPr>
        <w:tblW w:w="5000" w:type="pct"/>
        <w:tblCellMar>
          <w:left w:w="10" w:type="dxa"/>
          <w:right w:w="10" w:type="dxa"/>
        </w:tblCellMar>
        <w:tblLook w:val="04A0" w:firstRow="1" w:lastRow="0" w:firstColumn="1" w:lastColumn="0" w:noHBand="0" w:noVBand="1"/>
      </w:tblPr>
      <w:tblGrid>
        <w:gridCol w:w="1726"/>
        <w:gridCol w:w="1047"/>
        <w:gridCol w:w="1113"/>
        <w:gridCol w:w="1181"/>
        <w:gridCol w:w="1150"/>
        <w:gridCol w:w="1181"/>
        <w:gridCol w:w="1135"/>
        <w:gridCol w:w="1181"/>
      </w:tblGrid>
      <w:tr w:rsidR="00E85D42">
        <w:tblPrEx>
          <w:tblCellMar>
            <w:top w:w="0" w:type="dxa"/>
            <w:bottom w:w="0" w:type="dxa"/>
          </w:tblCellMar>
        </w:tblPrEx>
        <w:trPr>
          <w:trHeight w:val="645"/>
        </w:trPr>
        <w:tc>
          <w:tcPr>
            <w:tcW w:w="1726" w:type="dxa"/>
            <w:tcBorders>
              <w:top w:val="single" w:sz="4" w:space="0" w:color="000000"/>
              <w:left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Функция</w:t>
            </w:r>
          </w:p>
        </w:tc>
        <w:tc>
          <w:tcPr>
            <w:tcW w:w="1047" w:type="dxa"/>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F-критерий Фишера</w:t>
            </w:r>
          </w:p>
        </w:tc>
        <w:tc>
          <w:tcPr>
            <w:tcW w:w="2294" w:type="dxa"/>
            <w:gridSpan w:val="2"/>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Т-критерий Стьюдента</w:t>
            </w:r>
          </w:p>
        </w:tc>
        <w:tc>
          <w:tcPr>
            <w:tcW w:w="2331" w:type="dxa"/>
            <w:gridSpan w:val="2"/>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Коэффициент детерминации</w:t>
            </w:r>
          </w:p>
        </w:tc>
        <w:tc>
          <w:tcPr>
            <w:tcW w:w="2316" w:type="dxa"/>
            <w:gridSpan w:val="2"/>
            <w:tcBorders>
              <w:top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b/>
                <w:bCs/>
                <w:color w:val="212529"/>
                <w:sz w:val="15"/>
                <w:szCs w:val="15"/>
              </w:rPr>
            </w:pPr>
            <w:r>
              <w:rPr>
                <w:b/>
                <w:bCs/>
                <w:color w:val="212529"/>
                <w:sz w:val="15"/>
                <w:szCs w:val="15"/>
              </w:rPr>
              <w:t>Средняя относительная погрешность</w:t>
            </w:r>
          </w:p>
        </w:tc>
      </w:tr>
      <w:tr w:rsidR="00E85D42">
        <w:tblPrEx>
          <w:tblCellMar>
            <w:top w:w="0" w:type="dxa"/>
            <w:bottom w:w="0" w:type="dxa"/>
          </w:tblCellMar>
        </w:tblPrEx>
        <w:trPr>
          <w:trHeight w:val="495"/>
        </w:trPr>
        <w:tc>
          <w:tcPr>
            <w:tcW w:w="1726" w:type="dxa"/>
            <w:tcBorders>
              <w:left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Выборка</w:t>
            </w:r>
          </w:p>
        </w:tc>
        <w:tc>
          <w:tcPr>
            <w:tcW w:w="1047"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 </w:t>
            </w:r>
          </w:p>
        </w:tc>
        <w:tc>
          <w:tcPr>
            <w:tcW w:w="1113"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Обучающая</w:t>
            </w:r>
          </w:p>
        </w:tc>
        <w:tc>
          <w:tcPr>
            <w:tcW w:w="1181"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Контрольная</w:t>
            </w:r>
          </w:p>
        </w:tc>
        <w:tc>
          <w:tcPr>
            <w:tcW w:w="1150"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Обучающая</w:t>
            </w:r>
          </w:p>
        </w:tc>
        <w:tc>
          <w:tcPr>
            <w:tcW w:w="1181"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Контрольная</w:t>
            </w:r>
          </w:p>
        </w:tc>
        <w:tc>
          <w:tcPr>
            <w:tcW w:w="1135"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Обучающая</w:t>
            </w:r>
          </w:p>
        </w:tc>
        <w:tc>
          <w:tcPr>
            <w:tcW w:w="1181" w:type="dxa"/>
            <w:tcBorders>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Контрольная</w:t>
            </w:r>
          </w:p>
        </w:tc>
      </w:tr>
      <w:tr w:rsidR="00E85D42">
        <w:tblPrEx>
          <w:tblCellMar>
            <w:top w:w="0" w:type="dxa"/>
            <w:bottom w:w="0" w:type="dxa"/>
          </w:tblCellMar>
        </w:tblPrEx>
        <w:trPr>
          <w:trHeight w:val="495"/>
        </w:trPr>
        <w:tc>
          <w:tcPr>
            <w:tcW w:w="1726" w:type="dxa"/>
            <w:tcBorders>
              <w:left w:val="single" w:sz="4" w:space="0" w:color="000000"/>
              <w:bottom w:val="single" w:sz="4" w:space="0" w:color="000000"/>
              <w:right w:val="single" w:sz="4" w:space="0" w:color="000000"/>
            </w:tcBorders>
            <w:shd w:val="clear" w:color="auto" w:fill="F4F7FA"/>
            <w:tcMar>
              <w:top w:w="0" w:type="dxa"/>
              <w:left w:w="108" w:type="dxa"/>
              <w:bottom w:w="0" w:type="dxa"/>
              <w:right w:w="108" w:type="dxa"/>
            </w:tcMar>
            <w:vAlign w:val="center"/>
          </w:tcPr>
          <w:p w:rsidR="00E85D42" w:rsidRDefault="008113B9">
            <w:pPr>
              <w:jc w:val="right"/>
              <w:rPr>
                <w:color w:val="212529"/>
                <w:sz w:val="15"/>
                <w:szCs w:val="15"/>
              </w:rPr>
            </w:pPr>
            <w:r>
              <w:rPr>
                <w:color w:val="212529"/>
                <w:sz w:val="15"/>
                <w:szCs w:val="15"/>
              </w:rPr>
              <w:t xml:space="preserve">Экспоненциальная </w:t>
            </w:r>
          </w:p>
        </w:tc>
        <w:tc>
          <w:tcPr>
            <w:tcW w:w="1047"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143.73354</w:t>
            </w:r>
          </w:p>
        </w:tc>
        <w:tc>
          <w:tcPr>
            <w:tcW w:w="1113"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0.43636</w:t>
            </w:r>
          </w:p>
        </w:tc>
        <w:tc>
          <w:tcPr>
            <w:tcW w:w="1181"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0.57652</w:t>
            </w:r>
          </w:p>
        </w:tc>
        <w:tc>
          <w:tcPr>
            <w:tcW w:w="1150"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0.88739</w:t>
            </w:r>
          </w:p>
        </w:tc>
        <w:tc>
          <w:tcPr>
            <w:tcW w:w="1181"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0.90613</w:t>
            </w:r>
          </w:p>
        </w:tc>
        <w:tc>
          <w:tcPr>
            <w:tcW w:w="1135"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0.10522</w:t>
            </w:r>
          </w:p>
        </w:tc>
        <w:tc>
          <w:tcPr>
            <w:tcW w:w="1181" w:type="dxa"/>
            <w:tcBorders>
              <w:bottom w:val="single" w:sz="4" w:space="0" w:color="000000"/>
              <w:right w:val="single" w:sz="4" w:space="0" w:color="000000"/>
            </w:tcBorders>
            <w:shd w:val="clear" w:color="auto" w:fill="C3E6CB"/>
            <w:tcMar>
              <w:top w:w="0" w:type="dxa"/>
              <w:left w:w="108" w:type="dxa"/>
              <w:bottom w:w="0" w:type="dxa"/>
              <w:right w:w="108" w:type="dxa"/>
            </w:tcMar>
            <w:vAlign w:val="center"/>
          </w:tcPr>
          <w:p w:rsidR="00E85D42" w:rsidRDefault="008113B9">
            <w:pPr>
              <w:jc w:val="center"/>
              <w:rPr>
                <w:color w:val="212529"/>
                <w:sz w:val="15"/>
                <w:szCs w:val="15"/>
              </w:rPr>
            </w:pPr>
            <w:r>
              <w:rPr>
                <w:color w:val="212529"/>
                <w:sz w:val="15"/>
                <w:szCs w:val="15"/>
              </w:rPr>
              <w:t>0.11065</w:t>
            </w:r>
          </w:p>
        </w:tc>
      </w:tr>
    </w:tbl>
    <w:p w:rsidR="00E85D42" w:rsidRDefault="00E85D42">
      <w:pPr>
        <w:pStyle w:val="affffc"/>
        <w:ind w:firstLine="709"/>
        <w:jc w:val="both"/>
        <w:rPr>
          <w:rFonts w:ascii="Times New Roman" w:hAnsi="Times New Roman"/>
          <w:sz w:val="24"/>
          <w:szCs w:val="24"/>
          <w:lang w:val="en-US"/>
        </w:rPr>
      </w:pP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На этапе определения факторов стоимости, участвующих в расчете кадастровой стоимости, на основании анализа рынка недвижимости, были отобраны наиболее значимые факторов стоимости,</w:t>
      </w:r>
      <w:r>
        <w:rPr>
          <w:rFonts w:ascii="Times New Roman" w:hAnsi="Times New Roman"/>
          <w:sz w:val="24"/>
          <w:szCs w:val="24"/>
        </w:rPr>
        <w:t xml:space="preserve"> формирующие цену предложения и/или цену спроса за земельный участок конкретного вида разрешенного использования. С целью дифференциации удельного показателя кадастровой стоимости на территории Республики Башкортостан, при построении модели, преимущество о</w:t>
      </w:r>
      <w:r>
        <w:rPr>
          <w:rFonts w:ascii="Times New Roman" w:hAnsi="Times New Roman"/>
          <w:sz w:val="24"/>
          <w:szCs w:val="24"/>
        </w:rPr>
        <w:t>тдавалось количественным факторам стоимости, характеризующим местоположение и окружение земельного участка. Однако ввиду недостаточно динамичного развития рынка недвижимости имела место нехватка достоверной и достаточной рыночной информации об объектах-ана</w:t>
      </w:r>
      <w:r>
        <w:rPr>
          <w:rFonts w:ascii="Times New Roman" w:hAnsi="Times New Roman"/>
          <w:sz w:val="24"/>
          <w:szCs w:val="24"/>
        </w:rPr>
        <w:t>логах. Тем не менее, несмотря на то, что объекты-аналоги «покрывали» не всю территорию, занятую объектами оценки (были не репрезентативны), по имеющейся информации можно было проследить зависимость цены объекта от значения фактора стоимости. При этом данны</w:t>
      </w:r>
      <w:r>
        <w:rPr>
          <w:rFonts w:ascii="Times New Roman" w:hAnsi="Times New Roman"/>
          <w:sz w:val="24"/>
          <w:szCs w:val="24"/>
        </w:rPr>
        <w:t>е зависимости отображали действительную ситуацию на рынке земельных участков (а именно в части формирования стоимости земельных участков).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При анализе мультиколлинеарности факторов стоимости, несмотря на достаточное значе</w:t>
      </w:r>
      <w:r>
        <w:rPr>
          <w:rFonts w:ascii="Times New Roman" w:hAnsi="Times New Roman"/>
          <w:sz w:val="24"/>
          <w:szCs w:val="24"/>
        </w:rPr>
        <w:softHyphen/>
        <w:t>ние коэффициента парной корреляции</w:t>
      </w:r>
      <w:r>
        <w:rPr>
          <w:rFonts w:ascii="Times New Roman" w:hAnsi="Times New Roman"/>
          <w:sz w:val="24"/>
          <w:szCs w:val="24"/>
        </w:rPr>
        <w:t xml:space="preserve"> между факторами стоимости в ряде случаев, оба фактора могли быть оставлены для дальнейшего моделирования, поскольку в условиях, когда значения данных факторов имеют дифференциацию между земельными участками, расположенными в пре</w:t>
      </w:r>
      <w:r>
        <w:rPr>
          <w:rFonts w:ascii="Times New Roman" w:hAnsi="Times New Roman"/>
          <w:sz w:val="24"/>
          <w:szCs w:val="24"/>
        </w:rPr>
        <w:softHyphen/>
        <w:t>делах одно и того же насел</w:t>
      </w:r>
      <w:r>
        <w:rPr>
          <w:rFonts w:ascii="Times New Roman" w:hAnsi="Times New Roman"/>
          <w:sz w:val="24"/>
          <w:szCs w:val="24"/>
        </w:rPr>
        <w:t>енного пункта, взаимозависимость указанных факторов можно при</w:t>
      </w:r>
      <w:r>
        <w:rPr>
          <w:rFonts w:ascii="Times New Roman" w:hAnsi="Times New Roman"/>
          <w:sz w:val="24"/>
          <w:szCs w:val="24"/>
        </w:rPr>
        <w:softHyphen/>
        <w:t>знать в достаточной степени условной.</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При выборе факторов стоимости для моделирования также учитывался тот факт, что полученная зависимость между фактором стоимости и УПКС для объектов аналогов </w:t>
      </w:r>
      <w:r>
        <w:rPr>
          <w:rFonts w:ascii="Times New Roman" w:hAnsi="Times New Roman"/>
          <w:sz w:val="24"/>
          <w:szCs w:val="24"/>
        </w:rPr>
        <w:t>должна соответствовать зависимости между фактором стоимости и УПКС для объектов оценки. В связи с этим в ряде случаях, несмотря на высокий коэффициент значимости, фактор стоимости не участвовал в построении модели.</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Результат выбора факторов стоимости для п</w:t>
      </w:r>
      <w:r>
        <w:rPr>
          <w:rFonts w:ascii="Times New Roman" w:hAnsi="Times New Roman"/>
          <w:sz w:val="24"/>
          <w:szCs w:val="24"/>
        </w:rPr>
        <w:t xml:space="preserve">остроения моделей по каждой сформированной группе отображены Таблице «Анализ качества модели 13 сегмент» Приложения 2.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xml:space="preserve">Построенная статистическая модель должна выражать зависимость кадастровой стоимости или удельного показателя кадастровой стоимости от </w:t>
      </w:r>
      <w:r>
        <w:rPr>
          <w:rFonts w:ascii="Times New Roman" w:hAnsi="Times New Roman"/>
          <w:sz w:val="24"/>
          <w:szCs w:val="24"/>
        </w:rPr>
        <w:t xml:space="preserve">значений факторов стоимости. </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Если построенная статистическая модель выражает зависимость кадастровой стоимости земельного участка от значений факторов стоимости, то расчет кадастровой стоимости земельных участков в составе земель населенных пунктов осущес</w:t>
      </w:r>
      <w:r>
        <w:rPr>
          <w:rFonts w:ascii="Times New Roman" w:hAnsi="Times New Roman"/>
          <w:sz w:val="24"/>
          <w:szCs w:val="24"/>
        </w:rPr>
        <w:t>твляется подстановкой значений факторов стоимости земельных участков в составе земель населенных пунктов в статистическую модель расчета кадастровой стоимости земельных участков в составе земель населенных пунктов.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Если построенная статистическая модель вы</w:t>
      </w:r>
      <w:r>
        <w:rPr>
          <w:rFonts w:ascii="Times New Roman" w:hAnsi="Times New Roman"/>
          <w:sz w:val="24"/>
          <w:szCs w:val="24"/>
        </w:rPr>
        <w:t>ражает зависимость удельного показателя кадастровой стоимости земельного участка от значений факторов стоимости, кадастровая стоимость земельного участка определяется следующим образом:</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определяется удельный показатель кадастровой стоимости земельного уч</w:t>
      </w:r>
      <w:r>
        <w:rPr>
          <w:rFonts w:ascii="Times New Roman" w:hAnsi="Times New Roman"/>
          <w:sz w:val="24"/>
          <w:szCs w:val="24"/>
        </w:rPr>
        <w:t>астка путем подстановки значений факторов стоимости земельного участка в статистическую модель расчета удельного показателя кадастровой стоимости земельных участков в составе земель населенных пунктов;</w:t>
      </w:r>
    </w:p>
    <w:p w:rsidR="00E85D42" w:rsidRDefault="008113B9">
      <w:pPr>
        <w:pStyle w:val="affffc"/>
        <w:ind w:firstLine="709"/>
        <w:jc w:val="both"/>
        <w:rPr>
          <w:rFonts w:ascii="Times New Roman" w:hAnsi="Times New Roman"/>
          <w:sz w:val="24"/>
          <w:szCs w:val="24"/>
        </w:rPr>
      </w:pPr>
      <w:r>
        <w:rPr>
          <w:rFonts w:ascii="Times New Roman" w:hAnsi="Times New Roman"/>
          <w:sz w:val="24"/>
          <w:szCs w:val="24"/>
        </w:rPr>
        <w:t>- определяется кадастровая стоимость земельного участк</w:t>
      </w:r>
      <w:r>
        <w:rPr>
          <w:rFonts w:ascii="Times New Roman" w:hAnsi="Times New Roman"/>
          <w:sz w:val="24"/>
          <w:szCs w:val="24"/>
        </w:rPr>
        <w:t>а путем умножения удельного показателя кадастровой стоимости земельного участка на площадь земельного участка.</w:t>
      </w:r>
    </w:p>
    <w:p w:rsidR="00E85D42" w:rsidRDefault="00E85D42">
      <w:pPr>
        <w:widowControl w:val="0"/>
        <w:autoSpaceDE w:val="0"/>
        <w:ind w:firstLine="539"/>
        <w:jc w:val="both"/>
        <w:rPr>
          <w:b/>
          <w:sz w:val="24"/>
        </w:rPr>
      </w:pPr>
    </w:p>
    <w:p w:rsidR="00E85D42" w:rsidRDefault="008113B9">
      <w:pPr>
        <w:pStyle w:val="8"/>
        <w:numPr>
          <w:ilvl w:val="2"/>
          <w:numId w:val="22"/>
        </w:numPr>
        <w:ind w:left="567" w:hanging="709"/>
        <w:jc w:val="left"/>
        <w:rPr>
          <w:rFonts w:eastAsia="Calibri"/>
          <w:b/>
          <w:sz w:val="24"/>
          <w:lang w:eastAsia="en-US"/>
        </w:rPr>
      </w:pPr>
      <w:r>
        <w:rPr>
          <w:rFonts w:eastAsia="Calibri"/>
          <w:b/>
          <w:sz w:val="24"/>
          <w:lang w:eastAsia="en-US"/>
        </w:rPr>
        <w:t>Расчет кадастровой стоимости земельных участков, отнесенных по виду разрешенного использования к сегменту «Иное использование»: 14:000.</w:t>
      </w:r>
    </w:p>
    <w:p w:rsidR="00E85D42" w:rsidRDefault="008113B9">
      <w:pPr>
        <w:spacing w:line="276" w:lineRule="auto"/>
        <w:ind w:firstLine="709"/>
        <w:jc w:val="both"/>
      </w:pPr>
      <w:r>
        <w:rPr>
          <w:sz w:val="24"/>
        </w:rPr>
        <w:t>В рамках</w:t>
      </w:r>
      <w:r>
        <w:rPr>
          <w:sz w:val="24"/>
        </w:rPr>
        <w:t xml:space="preserve"> сравнительного подхода методом моделирования на основе УПКС произведены расчеты </w:t>
      </w:r>
      <w:r>
        <w:rPr>
          <w:color w:val="000000"/>
          <w:sz w:val="24"/>
        </w:rPr>
        <w:t>значений УПКС для земельных участков, отнесенных в группу 14:000,</w:t>
      </w:r>
      <w:r>
        <w:rPr>
          <w:sz w:val="24"/>
        </w:rPr>
        <w:t xml:space="preserve"> вид разрешённого использования которых не определён</w:t>
      </w:r>
      <w:r>
        <w:rPr>
          <w:color w:val="000000"/>
          <w:sz w:val="24"/>
        </w:rPr>
        <w:t>. Данный метод в соответствии с Указаниями применялся всле</w:t>
      </w:r>
      <w:r>
        <w:rPr>
          <w:color w:val="000000"/>
          <w:sz w:val="24"/>
        </w:rPr>
        <w:t xml:space="preserve">дствие недостатка информации об объектах недвижимости, подлежащих оценке, а именно: о фактическом использовании объектов оценки. </w:t>
      </w:r>
    </w:p>
    <w:p w:rsidR="00E85D42" w:rsidRDefault="008113B9">
      <w:pPr>
        <w:widowControl w:val="0"/>
        <w:autoSpaceDE w:val="0"/>
        <w:spacing w:line="276" w:lineRule="auto"/>
        <w:ind w:firstLine="709"/>
        <w:jc w:val="both"/>
      </w:pPr>
      <w:r>
        <w:rPr>
          <w:spacing w:val="-4"/>
          <w:sz w:val="24"/>
        </w:rPr>
        <w:t xml:space="preserve">УПКС земельных участков, отнесенных в </w:t>
      </w:r>
      <w:r>
        <w:rPr>
          <w:sz w:val="24"/>
        </w:rPr>
        <w:t xml:space="preserve">группу 14:000, в пределах территории кадастрового </w:t>
      </w:r>
      <w:r>
        <w:rPr>
          <w:spacing w:val="-4"/>
          <w:sz w:val="24"/>
        </w:rPr>
        <w:t>квартала</w:t>
      </w:r>
      <w:r>
        <w:rPr>
          <w:sz w:val="24"/>
        </w:rPr>
        <w:t xml:space="preserve"> рассчитываются исходя из сред</w:t>
      </w:r>
      <w:r>
        <w:rPr>
          <w:sz w:val="24"/>
        </w:rPr>
        <w:t xml:space="preserve">них для того же кадастрового квартала (в случае отсутствия – для муниципального образования) значений УПКС земельных участков, отнесенных к другим сегментам. Кадастровая стоимость вышеуказанных земельных участков </w:t>
      </w:r>
      <w:r>
        <w:rPr>
          <w:color w:val="000000"/>
          <w:sz w:val="24"/>
        </w:rPr>
        <w:t>определена путем умножения полученного сред</w:t>
      </w:r>
      <w:r>
        <w:rPr>
          <w:color w:val="000000"/>
          <w:sz w:val="24"/>
        </w:rPr>
        <w:t xml:space="preserve">него арифметического значения вычисленных УПКС на площадь. </w:t>
      </w:r>
    </w:p>
    <w:p w:rsidR="00E85D42" w:rsidRDefault="00E85D42">
      <w:pPr>
        <w:ind w:firstLine="709"/>
        <w:jc w:val="both"/>
        <w:rPr>
          <w:spacing w:val="-4"/>
          <w:sz w:val="24"/>
          <w:szCs w:val="24"/>
        </w:rPr>
      </w:pPr>
    </w:p>
    <w:p w:rsidR="00E85D42" w:rsidRDefault="008113B9">
      <w:pPr>
        <w:ind w:firstLine="709"/>
        <w:jc w:val="both"/>
      </w:pPr>
      <w:r>
        <w:rPr>
          <w:spacing w:val="-4"/>
          <w:sz w:val="24"/>
          <w:szCs w:val="24"/>
        </w:rPr>
        <w:t>Результат расчета кадастровой стоимости земельных участков, отнесенных в группу 14:000 приведен в Приложении № 2.</w:t>
      </w:r>
    </w:p>
    <w:p w:rsidR="00E85D42" w:rsidRDefault="00E85D42">
      <w:pPr>
        <w:ind w:firstLine="709"/>
        <w:jc w:val="both"/>
        <w:rPr>
          <w:color w:val="000000"/>
          <w:sz w:val="24"/>
          <w:szCs w:val="24"/>
        </w:rPr>
      </w:pPr>
    </w:p>
    <w:p w:rsidR="00E85D42" w:rsidRDefault="008113B9">
      <w:pPr>
        <w:pStyle w:val="8"/>
        <w:numPr>
          <w:ilvl w:val="2"/>
          <w:numId w:val="22"/>
        </w:numPr>
        <w:ind w:left="567" w:hanging="709"/>
        <w:jc w:val="left"/>
        <w:rPr>
          <w:rFonts w:eastAsia="Calibri"/>
          <w:b/>
          <w:sz w:val="24"/>
          <w:lang w:eastAsia="en-US"/>
        </w:rPr>
      </w:pPr>
      <w:bookmarkStart w:id="152" w:name="_Toc341100125"/>
      <w:bookmarkStart w:id="153" w:name="_Toc342261903"/>
      <w:bookmarkStart w:id="154" w:name="_Toc463014069"/>
      <w:r>
        <w:rPr>
          <w:rFonts w:eastAsia="Calibri"/>
          <w:b/>
          <w:sz w:val="24"/>
          <w:lang w:eastAsia="en-US"/>
        </w:rPr>
        <w:t>Расчет методом моделирования на основе УПКС</w:t>
      </w:r>
      <w:bookmarkEnd w:id="152"/>
      <w:bookmarkEnd w:id="153"/>
      <w:bookmarkEnd w:id="154"/>
      <w:r>
        <w:rPr>
          <w:rFonts w:eastAsia="Calibri"/>
          <w:b/>
          <w:sz w:val="24"/>
          <w:lang w:eastAsia="en-US"/>
        </w:rPr>
        <w:t>.</w:t>
      </w:r>
    </w:p>
    <w:p w:rsidR="00E85D42" w:rsidRDefault="008113B9">
      <w:pPr>
        <w:widowControl w:val="0"/>
        <w:autoSpaceDE w:val="0"/>
        <w:ind w:firstLine="568"/>
        <w:jc w:val="both"/>
      </w:pPr>
      <w:r>
        <w:rPr>
          <w:sz w:val="24"/>
        </w:rPr>
        <w:t>При расчете кадастровой стоимости з</w:t>
      </w:r>
      <w:r>
        <w:rPr>
          <w:sz w:val="24"/>
        </w:rPr>
        <w:t>емельных участков, по которым информация о ценообразующих факторах была недостаточной,</w:t>
      </w:r>
      <w:r>
        <w:rPr>
          <w:sz w:val="24"/>
          <w:lang w:eastAsia="en-US"/>
        </w:rPr>
        <w:t xml:space="preserve"> применялся метод моделирования на основе удельных показателей кадастровой стоимости (УПКС).  Применяется в случаях,  когда отсутствует возможность применения метода стат</w:t>
      </w:r>
      <w:r>
        <w:rPr>
          <w:sz w:val="24"/>
          <w:lang w:eastAsia="en-US"/>
        </w:rPr>
        <w:t>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w:t>
      </w:r>
      <w:r>
        <w:rPr>
          <w:sz w:val="24"/>
          <w:lang w:eastAsia="en-US"/>
        </w:rPr>
        <w:t xml:space="preserve">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w:t>
      </w:r>
      <w:r>
        <w:rPr>
          <w:sz w:val="24"/>
          <w:lang w:eastAsia="en-US"/>
        </w:rPr>
        <w:t xml:space="preserve">(эталонного) типового объекта недвижимости. </w:t>
      </w:r>
    </w:p>
    <w:p w:rsidR="00E85D42" w:rsidRDefault="008113B9">
      <w:pPr>
        <w:ind w:firstLine="709"/>
        <w:jc w:val="both"/>
      </w:pPr>
      <w:r>
        <w:rPr>
          <w:color w:val="000000"/>
          <w:sz w:val="24"/>
          <w:szCs w:val="24"/>
        </w:rPr>
        <w:t xml:space="preserve">Данным методом рассчитывались земельные участки сегментов 1,2,3,4,5,6,7,13,14. Расчет осуществлен средствами специального программного обеспечения на основании рассчитанных средних </w:t>
      </w:r>
      <w:r>
        <w:rPr>
          <w:sz w:val="24"/>
          <w:szCs w:val="24"/>
        </w:rPr>
        <w:t>(взвешенных по площади) значен</w:t>
      </w:r>
      <w:r>
        <w:rPr>
          <w:sz w:val="24"/>
          <w:szCs w:val="24"/>
        </w:rPr>
        <w:t>ий</w:t>
      </w:r>
      <w:r>
        <w:rPr>
          <w:color w:val="000000"/>
          <w:sz w:val="24"/>
          <w:szCs w:val="24"/>
        </w:rPr>
        <w:t xml:space="preserve"> УПКС земельных участков соответствующих видов разрешенного использования. </w:t>
      </w:r>
      <w:r>
        <w:rPr>
          <w:sz w:val="24"/>
          <w:szCs w:val="24"/>
        </w:rPr>
        <w:t>По результатам расчетов установлена кадастровая стоимость земельных участков, исходя из среднего значения УПКС соответствующих видов разрешенного использования, путем</w:t>
      </w:r>
      <w:r>
        <w:rPr>
          <w:color w:val="000000"/>
          <w:sz w:val="24"/>
          <w:szCs w:val="24"/>
        </w:rPr>
        <w:t xml:space="preserve"> его умножени</w:t>
      </w:r>
      <w:r>
        <w:rPr>
          <w:color w:val="000000"/>
          <w:sz w:val="24"/>
          <w:szCs w:val="24"/>
        </w:rPr>
        <w:t xml:space="preserve">я на площадь земельного участка. </w:t>
      </w:r>
    </w:p>
    <w:p w:rsidR="00E85D42" w:rsidRDefault="008113B9">
      <w:pPr>
        <w:ind w:firstLine="709"/>
        <w:jc w:val="both"/>
        <w:rPr>
          <w:color w:val="000000"/>
          <w:sz w:val="24"/>
          <w:szCs w:val="24"/>
        </w:rPr>
      </w:pPr>
      <w:r>
        <w:rPr>
          <w:color w:val="000000"/>
          <w:sz w:val="24"/>
          <w:szCs w:val="24"/>
        </w:rPr>
        <w:t>Для объектов, фактическое местоположение которых не соответствует адресным характеристикам,  также применен метод УПКС с использованием минимальных значений соответствующей расчетной группы.</w:t>
      </w:r>
    </w:p>
    <w:p w:rsidR="00E85D42" w:rsidRDefault="00E85D42">
      <w:pPr>
        <w:ind w:firstLine="709"/>
        <w:jc w:val="both"/>
        <w:rPr>
          <w:color w:val="000000"/>
          <w:sz w:val="24"/>
          <w:szCs w:val="24"/>
        </w:rPr>
      </w:pPr>
    </w:p>
    <w:p w:rsidR="00E85D42" w:rsidRDefault="008113B9">
      <w:pPr>
        <w:pStyle w:val="8"/>
        <w:numPr>
          <w:ilvl w:val="2"/>
          <w:numId w:val="22"/>
        </w:numPr>
        <w:ind w:left="567" w:hanging="709"/>
        <w:jc w:val="left"/>
        <w:rPr>
          <w:rFonts w:eastAsia="Calibri"/>
          <w:b/>
          <w:sz w:val="24"/>
          <w:lang w:eastAsia="en-US"/>
        </w:rPr>
      </w:pPr>
      <w:r>
        <w:rPr>
          <w:rFonts w:eastAsia="Calibri"/>
          <w:b/>
          <w:sz w:val="24"/>
          <w:lang w:eastAsia="en-US"/>
        </w:rPr>
        <w:t>Расчет стоимости единых землеп</w:t>
      </w:r>
      <w:r>
        <w:rPr>
          <w:rFonts w:eastAsia="Calibri"/>
          <w:b/>
          <w:sz w:val="24"/>
          <w:lang w:eastAsia="en-US"/>
        </w:rPr>
        <w:t>ользований</w:t>
      </w:r>
    </w:p>
    <w:p w:rsidR="00E85D42" w:rsidRDefault="008113B9">
      <w:pPr>
        <w:ind w:firstLine="708"/>
        <w:jc w:val="both"/>
        <w:rPr>
          <w:sz w:val="24"/>
        </w:rPr>
      </w:pPr>
      <w:r>
        <w:rPr>
          <w:sz w:val="24"/>
        </w:rPr>
        <w:t>Кадастровая стоимость единых землепользований определялась как сумма кадастровых стоимостей обособленных земельных участков, входящих в их состав.</w:t>
      </w:r>
    </w:p>
    <w:p w:rsidR="00E85D42" w:rsidRDefault="00E85D42">
      <w:pPr>
        <w:ind w:firstLine="709"/>
        <w:jc w:val="both"/>
        <w:rPr>
          <w:color w:val="000000"/>
          <w:sz w:val="24"/>
          <w:szCs w:val="24"/>
        </w:rPr>
      </w:pPr>
    </w:p>
    <w:p w:rsidR="00E85D42" w:rsidRDefault="008113B9">
      <w:pPr>
        <w:keepNext/>
        <w:ind w:firstLine="576"/>
        <w:jc w:val="center"/>
        <w:outlineLvl w:val="1"/>
        <w:rPr>
          <w:b/>
          <w:sz w:val="24"/>
        </w:rPr>
      </w:pPr>
      <w:bookmarkStart w:id="155" w:name="_Toc11934900"/>
      <w:r>
        <w:rPr>
          <w:b/>
          <w:sz w:val="24"/>
        </w:rPr>
        <w:t>4. ЗАКЛЮЧИТЕЛЬНАЯ ГЛАВА</w:t>
      </w:r>
      <w:bookmarkEnd w:id="155"/>
    </w:p>
    <w:p w:rsidR="00E85D42" w:rsidRDefault="008113B9">
      <w:pPr>
        <w:keepNext/>
        <w:spacing w:before="120" w:after="120"/>
        <w:ind w:left="426" w:hanging="426"/>
        <w:jc w:val="center"/>
        <w:outlineLvl w:val="1"/>
        <w:rPr>
          <w:b/>
          <w:sz w:val="24"/>
        </w:rPr>
      </w:pPr>
      <w:bookmarkStart w:id="156" w:name="_Toc11934901"/>
      <w:r>
        <w:rPr>
          <w:b/>
          <w:sz w:val="24"/>
        </w:rPr>
        <w:t xml:space="preserve">4.1. Проведение контроля качества результатов определения кадастровой </w:t>
      </w:r>
      <w:r>
        <w:rPr>
          <w:b/>
          <w:sz w:val="24"/>
        </w:rPr>
        <w:t>стоимости</w:t>
      </w:r>
      <w:bookmarkEnd w:id="156"/>
    </w:p>
    <w:p w:rsidR="00E85D42" w:rsidRDefault="008113B9">
      <w:pPr>
        <w:ind w:firstLine="709"/>
        <w:jc w:val="both"/>
        <w:rPr>
          <w:color w:val="000000"/>
          <w:sz w:val="24"/>
          <w:szCs w:val="24"/>
        </w:rPr>
      </w:pPr>
      <w:r>
        <w:rPr>
          <w:color w:val="000000"/>
          <w:sz w:val="24"/>
          <w:szCs w:val="24"/>
        </w:rPr>
        <w:t>Согласно главе X Указаний, контроль качества результатов определения кадастровой стоимости, проводимый на каждом этапе определения кадастровой стоимости, включает ряд процедур, осуществляемых с участием уполномоченного органа:</w:t>
      </w:r>
    </w:p>
    <w:p w:rsidR="00E85D42" w:rsidRDefault="008113B9">
      <w:pPr>
        <w:ind w:firstLine="709"/>
        <w:jc w:val="both"/>
        <w:rPr>
          <w:color w:val="000000"/>
          <w:sz w:val="24"/>
          <w:szCs w:val="24"/>
        </w:rPr>
      </w:pPr>
      <w:r>
        <w:rPr>
          <w:color w:val="000000"/>
          <w:sz w:val="24"/>
          <w:szCs w:val="24"/>
        </w:rPr>
        <w:t>1) проверку исходны</w:t>
      </w:r>
      <w:r>
        <w:rPr>
          <w:color w:val="000000"/>
          <w:sz w:val="24"/>
          <w:szCs w:val="24"/>
        </w:rPr>
        <w:t>х данных об объектах недвижимости, организацию их сверки и уточнения;</w:t>
      </w:r>
    </w:p>
    <w:p w:rsidR="00E85D42" w:rsidRDefault="008113B9">
      <w:pPr>
        <w:ind w:firstLine="709"/>
        <w:jc w:val="both"/>
        <w:rPr>
          <w:color w:val="000000"/>
          <w:sz w:val="24"/>
          <w:szCs w:val="24"/>
        </w:rPr>
      </w:pPr>
      <w:r>
        <w:rPr>
          <w:color w:val="000000"/>
          <w:sz w:val="24"/>
          <w:szCs w:val="24"/>
        </w:rPr>
        <w:t>2) анализ рынка, сбор и верификацию (в том числе путем осмотра) данных о сделках и предложениях.</w:t>
      </w:r>
    </w:p>
    <w:p w:rsidR="00E85D42" w:rsidRDefault="008113B9">
      <w:pPr>
        <w:ind w:firstLine="709"/>
        <w:jc w:val="both"/>
        <w:rPr>
          <w:sz w:val="24"/>
          <w:szCs w:val="24"/>
        </w:rPr>
      </w:pPr>
      <w:r>
        <w:rPr>
          <w:sz w:val="24"/>
          <w:szCs w:val="24"/>
        </w:rPr>
        <w:t xml:space="preserve">Проверка исходных данных об объектах недвижимости, их сверка и уточнение заключались в </w:t>
      </w:r>
      <w:r>
        <w:rPr>
          <w:sz w:val="24"/>
          <w:szCs w:val="24"/>
        </w:rPr>
        <w:t>выявлении объектов недвижимости с неполными или отсутствующими характеристиками на этапе определения кода расчета вида использования и непосредственной оценки; направлении выявленных объектов на уточнение или уточнении на основе имеющейся информации об объ</w:t>
      </w:r>
      <w:r>
        <w:rPr>
          <w:sz w:val="24"/>
          <w:szCs w:val="24"/>
        </w:rPr>
        <w:t xml:space="preserve">ектах недвижимости, расположенных на оцениваемых участках; учете уточненной информации в моделях оценки. </w:t>
      </w:r>
    </w:p>
    <w:p w:rsidR="00E85D42" w:rsidRDefault="008113B9">
      <w:pPr>
        <w:ind w:firstLine="709"/>
        <w:jc w:val="both"/>
        <w:rPr>
          <w:color w:val="000000"/>
          <w:sz w:val="24"/>
          <w:szCs w:val="24"/>
        </w:rPr>
      </w:pPr>
      <w:r>
        <w:rPr>
          <w:color w:val="000000"/>
          <w:sz w:val="24"/>
          <w:szCs w:val="24"/>
        </w:rPr>
        <w:t>Анализ рынка, сбор и верификация данных о сделках и предложениях проведены специалистами ГБУ на основе сопоставления информации, указанной в объявлени</w:t>
      </w:r>
      <w:r>
        <w:rPr>
          <w:color w:val="000000"/>
          <w:sz w:val="24"/>
          <w:szCs w:val="24"/>
        </w:rPr>
        <w:t xml:space="preserve">ях о продаже с имеющимися материалами территориального планирования и градостроительного зонирования. </w:t>
      </w:r>
    </w:p>
    <w:p w:rsidR="00E85D42" w:rsidRDefault="008113B9">
      <w:pPr>
        <w:ind w:firstLine="709"/>
        <w:jc w:val="both"/>
        <w:rPr>
          <w:sz w:val="24"/>
          <w:szCs w:val="24"/>
        </w:rPr>
      </w:pPr>
      <w:r>
        <w:rPr>
          <w:sz w:val="24"/>
          <w:szCs w:val="24"/>
        </w:rPr>
        <w:t>В соответствии с п. 10.3. Указаний проведена проверка результатов определения кадастровой стоимости.</w:t>
      </w:r>
    </w:p>
    <w:p w:rsidR="00E85D42" w:rsidRDefault="008113B9">
      <w:pPr>
        <w:ind w:firstLine="709"/>
        <w:jc w:val="both"/>
        <w:rPr>
          <w:sz w:val="24"/>
          <w:szCs w:val="24"/>
        </w:rPr>
      </w:pPr>
      <w:r>
        <w:rPr>
          <w:sz w:val="24"/>
          <w:szCs w:val="24"/>
        </w:rPr>
        <w:t>Проверка результатов определения кадастровой стоимос</w:t>
      </w:r>
      <w:r>
        <w:rPr>
          <w:sz w:val="24"/>
          <w:szCs w:val="24"/>
        </w:rPr>
        <w:t xml:space="preserve">ти включает в себя следующие процедуры: </w:t>
      </w:r>
    </w:p>
    <w:p w:rsidR="00E85D42" w:rsidRDefault="008113B9">
      <w:pPr>
        <w:ind w:firstLine="709"/>
        <w:jc w:val="both"/>
        <w:rPr>
          <w:sz w:val="24"/>
          <w:szCs w:val="24"/>
        </w:rPr>
      </w:pPr>
      <w:r>
        <w:rPr>
          <w:sz w:val="24"/>
          <w:szCs w:val="24"/>
        </w:rPr>
        <w:t xml:space="preserve">1) проверка корректности результатов определения кадастровой стоимости в целом осуществляется путем анализа соотношений минимальных, средних и максимальных удельных показателей кадастровой стоимости (далее - УПКС): </w:t>
      </w:r>
    </w:p>
    <w:p w:rsidR="00E85D42" w:rsidRDefault="008113B9">
      <w:pPr>
        <w:ind w:firstLine="709"/>
        <w:jc w:val="both"/>
        <w:rPr>
          <w:sz w:val="24"/>
          <w:szCs w:val="24"/>
        </w:rPr>
      </w:pPr>
      <w:r>
        <w:rPr>
          <w:sz w:val="24"/>
          <w:szCs w:val="24"/>
        </w:rPr>
        <w:t>Информация о соотношении минимальных, средних и максимальных УПКС в разрезе групп объектов недвижимости, расположенных в разных муниципальных районах Республики Башкортостан представлена в приложении 2.</w:t>
      </w:r>
    </w:p>
    <w:p w:rsidR="00E85D42" w:rsidRDefault="008113B9">
      <w:pPr>
        <w:autoSpaceDE w:val="0"/>
        <w:ind w:firstLine="709"/>
        <w:jc w:val="both"/>
      </w:pPr>
      <w:r>
        <w:rPr>
          <w:sz w:val="24"/>
          <w:szCs w:val="24"/>
        </w:rPr>
        <w:t>Информация о соотношении минимальных, средних и макс</w:t>
      </w:r>
      <w:r>
        <w:rPr>
          <w:sz w:val="24"/>
          <w:szCs w:val="24"/>
        </w:rPr>
        <w:t xml:space="preserve">имальных УПКС </w:t>
      </w:r>
      <w:r>
        <w:rPr>
          <w:rFonts w:ascii="Times New Roman CYR" w:hAnsi="Times New Roman CYR" w:cs="Times New Roman CYR"/>
          <w:color w:val="000000"/>
          <w:sz w:val="24"/>
          <w:szCs w:val="24"/>
        </w:rPr>
        <w:t xml:space="preserve">разных видов использования в разрезе муниципальных районов Республики Башкортостан, приведена на примере Уфимского района </w:t>
      </w:r>
      <w:bookmarkStart w:id="157" w:name="_Toc512689684"/>
    </w:p>
    <w:p w:rsidR="00E85D42" w:rsidRDefault="00E85D42">
      <w:pPr>
        <w:autoSpaceDE w:val="0"/>
        <w:ind w:firstLine="426"/>
        <w:jc w:val="both"/>
        <w:rPr>
          <w:rFonts w:ascii="Times New Roman CYR" w:hAnsi="Times New Roman CYR" w:cs="Times New Roman CYR"/>
          <w:color w:val="000000"/>
          <w:sz w:val="24"/>
          <w:szCs w:val="24"/>
        </w:rPr>
      </w:pPr>
    </w:p>
    <w:p w:rsidR="00E85D42" w:rsidRDefault="008113B9">
      <w:pPr>
        <w:autoSpaceDE w:val="0"/>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Значения минимальных, максимальных и средних УПКС в разрезе сегментов в МР Уфимский район РБ, руб./кв.м.              </w:t>
      </w:r>
      <w:r>
        <w:rPr>
          <w:rFonts w:ascii="Times New Roman CYR" w:hAnsi="Times New Roman CYR" w:cs="Times New Roman CYR"/>
          <w:color w:val="000000"/>
          <w:sz w:val="24"/>
          <w:szCs w:val="24"/>
        </w:rPr>
        <w:t xml:space="preserve">                                                                 Таблица 4.1.1.</w:t>
      </w:r>
    </w:p>
    <w:tbl>
      <w:tblPr>
        <w:tblW w:w="5000" w:type="pct"/>
        <w:tblCellMar>
          <w:left w:w="10" w:type="dxa"/>
          <w:right w:w="10" w:type="dxa"/>
        </w:tblCellMar>
        <w:tblLook w:val="04A0" w:firstRow="1" w:lastRow="0" w:firstColumn="1" w:lastColumn="0" w:noHBand="0" w:noVBand="1"/>
      </w:tblPr>
      <w:tblGrid>
        <w:gridCol w:w="6345"/>
        <w:gridCol w:w="1276"/>
        <w:gridCol w:w="1133"/>
        <w:gridCol w:w="960"/>
      </w:tblGrid>
      <w:tr w:rsidR="00E85D42">
        <w:tblPrEx>
          <w:tblCellMar>
            <w:top w:w="0" w:type="dxa"/>
            <w:bottom w:w="0" w:type="dxa"/>
          </w:tblCellMar>
        </w:tblPrEx>
        <w:trPr>
          <w:trHeight w:val="421"/>
        </w:trPr>
        <w:tc>
          <w:tcPr>
            <w:tcW w:w="63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rPr>
                <w:b/>
              </w:rPr>
            </w:pPr>
            <w:r>
              <w:rPr>
                <w:b/>
              </w:rPr>
              <w:t>Сегмент</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b/>
                <w:bCs/>
              </w:rPr>
            </w:pPr>
            <w:r>
              <w:rPr>
                <w:b/>
                <w:bCs/>
              </w:rPr>
              <w:t>Мин</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b/>
                <w:bCs/>
              </w:rPr>
            </w:pPr>
            <w:r>
              <w:rPr>
                <w:b/>
                <w:bCs/>
              </w:rPr>
              <w:t>Среднее</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b/>
                <w:bCs/>
              </w:rPr>
            </w:pPr>
            <w:r>
              <w:rPr>
                <w:b/>
                <w:bCs/>
              </w:rPr>
              <w:t>Макс</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01. СЕГМЕНТ "Сельскохозяйственное использование"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4,29</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5,11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7,2</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02. СЕГМЕНТ "Жилая застройка (среднеэтажная и многоэтажная)"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541,06</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1647,13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2029,2</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03. СЕГМЕНТ "Общественное использование"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560,48</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1020,34</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2489,76</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04. СЕГМЕНТ "Предпринимательство"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960,39</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2049,67</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2350,28</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05. СЕГМЕНТ "Отдых (рекреация)"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693,18</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1241,63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1696,6</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06. СЕГМЕНТ "Производственная деятельность"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4,16</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489,39</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8417,47</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 xml:space="preserve">07. СЕГМЕНТ </w:t>
            </w:r>
            <w:r>
              <w:rPr>
                <w:bCs/>
              </w:rPr>
              <w:t>"Транспорт"</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1039,65</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2180,26</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3082,66</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08. СЕГМЕНТ "Обеспечение обороны и безопасности"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63,95</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63,95</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63,95</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09. СЕГМЕНТ "Охраняемые природные территории и благоустройство"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1,07</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2,82</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116,75</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10. СЕГМЕНТ "Использование лесов"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13,48</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13,49</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13,56</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 xml:space="preserve">11. СЕГМЕНТ </w:t>
            </w:r>
            <w:r>
              <w:rPr>
                <w:bCs/>
              </w:rPr>
              <w:t>"Водные объекты"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0,48</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0,79</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56,39</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12. СЕГМЕНТ "Специальное, ритуальное использование, запас"</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1,7</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4,93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234,72</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13. СЕГМЕНТ "Садоводческое, огородническое и дачное использование, малоэтажная жилая застройка"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81,69</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540,35</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994,31</w:t>
            </w:r>
          </w:p>
        </w:tc>
      </w:tr>
      <w:tr w:rsidR="00E85D42">
        <w:tblPrEx>
          <w:tblCellMar>
            <w:top w:w="0" w:type="dxa"/>
            <w:bottom w:w="0" w:type="dxa"/>
          </w:tblCellMar>
        </w:tblPrEx>
        <w:trPr>
          <w:trHeight w:val="300"/>
        </w:trPr>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85D42" w:rsidRDefault="008113B9">
            <w:pPr>
              <w:rPr>
                <w:bCs/>
              </w:rPr>
            </w:pPr>
            <w:r>
              <w:rPr>
                <w:bCs/>
              </w:rPr>
              <w:t xml:space="preserve">14. СЕГМЕНТ "Иное </w:t>
            </w:r>
            <w:r>
              <w:rPr>
                <w:bCs/>
              </w:rPr>
              <w:t>использование"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366,93</w:t>
            </w: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366,93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ind w:left="-207"/>
              <w:jc w:val="center"/>
              <w:rPr>
                <w:color w:val="000000"/>
              </w:rPr>
            </w:pPr>
            <w:r>
              <w:rPr>
                <w:color w:val="000000"/>
              </w:rPr>
              <w:t>366,93</w:t>
            </w:r>
          </w:p>
        </w:tc>
      </w:tr>
    </w:tbl>
    <w:p w:rsidR="00E85D42" w:rsidRDefault="00E85D42">
      <w:pPr>
        <w:autoSpaceDE w:val="0"/>
        <w:ind w:firstLine="426"/>
        <w:jc w:val="both"/>
        <w:rPr>
          <w:rFonts w:ascii="Times New Roman CYR" w:hAnsi="Times New Roman CYR" w:cs="Times New Roman CYR"/>
          <w:color w:val="000000"/>
          <w:sz w:val="24"/>
          <w:szCs w:val="24"/>
        </w:rPr>
      </w:pPr>
    </w:p>
    <w:p w:rsidR="00E85D42" w:rsidRDefault="008113B9">
      <w:pPr>
        <w:autoSpaceDE w:val="0"/>
        <w:jc w:val="both"/>
      </w:pPr>
      <w:r>
        <w:rPr>
          <w:noProof/>
        </w:rPr>
        <w:drawing>
          <wp:inline distT="0" distB="0" distL="0" distR="0">
            <wp:extent cx="6031226" cy="3805559"/>
            <wp:effectExtent l="0" t="0" r="0" b="0"/>
            <wp:docPr id="151"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rsidR="00E85D42" w:rsidRDefault="00E85D42">
      <w:pPr>
        <w:autoSpaceDE w:val="0"/>
        <w:jc w:val="both"/>
        <w:rPr>
          <w:rFonts w:ascii="Times New Roman CYR" w:hAnsi="Times New Roman CYR" w:cs="Times New Roman CYR"/>
          <w:color w:val="000000"/>
          <w:sz w:val="24"/>
          <w:szCs w:val="24"/>
        </w:rPr>
      </w:pPr>
    </w:p>
    <w:p w:rsidR="00E85D42" w:rsidRDefault="008113B9">
      <w:pPr>
        <w:autoSpaceDE w:val="0"/>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Проверка с использованием результатов оценочного зонирования территории с целью выявления результатов оценки, существенно отличающихся от уровня цен для каждого вида использования объектов проведена на примере </w:t>
      </w:r>
      <w:r>
        <w:rPr>
          <w:rFonts w:ascii="Times New Roman CYR" w:hAnsi="Times New Roman CYR" w:cs="Times New Roman CYR"/>
          <w:color w:val="000000"/>
          <w:sz w:val="24"/>
          <w:szCs w:val="24"/>
        </w:rPr>
        <w:t>объектов оценки, отнесенных по виду разрешенного использования к сегменту «Садоводство и огородничество, малоэтажная жилая застройка» Описание процесса проведения оценочного зонирования приведено в приложении 2.</w:t>
      </w:r>
    </w:p>
    <w:p w:rsidR="00E85D42" w:rsidRDefault="008113B9">
      <w:pPr>
        <w:autoSpaceDE w:val="0"/>
        <w:ind w:firstLine="426"/>
        <w:jc w:val="both"/>
      </w:pPr>
      <w:r>
        <w:rPr>
          <w:sz w:val="24"/>
        </w:rPr>
        <w:t xml:space="preserve">Таблица 4.1.2. - </w:t>
      </w:r>
      <w:r>
        <w:rPr>
          <w:rFonts w:ascii="Times New Roman CYR" w:hAnsi="Times New Roman CYR" w:cs="Times New Roman CYR"/>
          <w:color w:val="000000"/>
          <w:sz w:val="24"/>
          <w:szCs w:val="24"/>
        </w:rPr>
        <w:t>Проверка результатов значен</w:t>
      </w:r>
      <w:r>
        <w:rPr>
          <w:rFonts w:ascii="Times New Roman CYR" w:hAnsi="Times New Roman CYR" w:cs="Times New Roman CYR"/>
          <w:color w:val="000000"/>
          <w:sz w:val="24"/>
          <w:szCs w:val="24"/>
        </w:rPr>
        <w:t xml:space="preserve">ий УПКС с использованием результатов оценочного зонирования территории по сегменту «Садоводство и огородничество, малоэтажная жилая застройка» </w:t>
      </w:r>
    </w:p>
    <w:tbl>
      <w:tblPr>
        <w:tblW w:w="5000" w:type="pct"/>
        <w:tblCellMar>
          <w:left w:w="10" w:type="dxa"/>
          <w:right w:w="10" w:type="dxa"/>
        </w:tblCellMar>
        <w:tblLook w:val="04A0" w:firstRow="1" w:lastRow="0" w:firstColumn="1" w:lastColumn="0" w:noHBand="0" w:noVBand="1"/>
      </w:tblPr>
      <w:tblGrid>
        <w:gridCol w:w="2996"/>
        <w:gridCol w:w="1224"/>
        <w:gridCol w:w="853"/>
        <w:gridCol w:w="1282"/>
        <w:gridCol w:w="1224"/>
        <w:gridCol w:w="853"/>
        <w:gridCol w:w="1282"/>
      </w:tblGrid>
      <w:tr w:rsidR="00E85D42">
        <w:tblPrEx>
          <w:tblCellMar>
            <w:top w:w="0" w:type="dxa"/>
            <w:bottom w:w="0" w:type="dxa"/>
          </w:tblCellMar>
        </w:tblPrEx>
        <w:trPr>
          <w:trHeight w:val="1275"/>
        </w:trPr>
        <w:tc>
          <w:tcPr>
            <w:tcW w:w="299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b/>
                <w:bCs/>
                <w:color w:val="000000"/>
                <w:sz w:val="22"/>
                <w:szCs w:val="22"/>
              </w:rPr>
            </w:pPr>
            <w:r>
              <w:rPr>
                <w:b/>
                <w:bCs/>
                <w:color w:val="000000"/>
                <w:sz w:val="22"/>
                <w:szCs w:val="22"/>
              </w:rPr>
              <w:t>Муниципальный район</w:t>
            </w:r>
          </w:p>
        </w:tc>
        <w:tc>
          <w:tcPr>
            <w:tcW w:w="3359"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22"/>
                <w:szCs w:val="22"/>
              </w:rPr>
            </w:pPr>
            <w:r>
              <w:rPr>
                <w:b/>
                <w:bCs/>
                <w:color w:val="000000"/>
                <w:sz w:val="22"/>
                <w:szCs w:val="22"/>
              </w:rPr>
              <w:t>Удельный показатель кадастровой стоимости, руб./кв.м.</w:t>
            </w:r>
          </w:p>
        </w:tc>
        <w:tc>
          <w:tcPr>
            <w:tcW w:w="3359"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22"/>
                <w:szCs w:val="22"/>
              </w:rPr>
            </w:pPr>
            <w:r>
              <w:rPr>
                <w:b/>
                <w:bCs/>
                <w:color w:val="000000"/>
                <w:sz w:val="22"/>
                <w:szCs w:val="22"/>
              </w:rPr>
              <w:t>Удельный показатель рыночной цены по р</w:t>
            </w:r>
            <w:r>
              <w:rPr>
                <w:b/>
                <w:bCs/>
                <w:color w:val="000000"/>
                <w:sz w:val="22"/>
                <w:szCs w:val="22"/>
              </w:rPr>
              <w:t>езультатам ценового зонирования, руб./кв.м.</w:t>
            </w:r>
          </w:p>
        </w:tc>
      </w:tr>
      <w:tr w:rsidR="00E85D42">
        <w:tblPrEx>
          <w:tblCellMar>
            <w:top w:w="0" w:type="dxa"/>
            <w:bottom w:w="0" w:type="dxa"/>
          </w:tblCellMar>
        </w:tblPrEx>
        <w:trPr>
          <w:trHeight w:val="570"/>
        </w:trPr>
        <w:tc>
          <w:tcPr>
            <w:tcW w:w="299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E85D42">
            <w:pPr>
              <w:rPr>
                <w:b/>
                <w:bCs/>
                <w:color w:val="000000"/>
                <w:sz w:val="22"/>
                <w:szCs w:val="22"/>
              </w:rPr>
            </w:pP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22"/>
                <w:szCs w:val="22"/>
              </w:rPr>
            </w:pPr>
            <w:r>
              <w:rPr>
                <w:b/>
                <w:bCs/>
                <w:color w:val="000000"/>
                <w:sz w:val="22"/>
                <w:szCs w:val="22"/>
              </w:rPr>
              <w:t>Минимальное значение</w:t>
            </w:r>
          </w:p>
        </w:tc>
        <w:tc>
          <w:tcPr>
            <w:tcW w:w="8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22"/>
                <w:szCs w:val="22"/>
              </w:rPr>
            </w:pPr>
            <w:r>
              <w:rPr>
                <w:b/>
                <w:bCs/>
                <w:color w:val="000000"/>
                <w:sz w:val="22"/>
                <w:szCs w:val="22"/>
              </w:rPr>
              <w:t>Среднее значение</w:t>
            </w:r>
          </w:p>
        </w:tc>
        <w:tc>
          <w:tcPr>
            <w:tcW w:w="128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22"/>
                <w:szCs w:val="22"/>
              </w:rPr>
            </w:pPr>
            <w:r>
              <w:rPr>
                <w:b/>
                <w:bCs/>
                <w:color w:val="000000"/>
                <w:sz w:val="22"/>
                <w:szCs w:val="22"/>
              </w:rPr>
              <w:t>Максимальное значение</w:t>
            </w:r>
          </w:p>
        </w:tc>
        <w:tc>
          <w:tcPr>
            <w:tcW w:w="12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22"/>
                <w:szCs w:val="22"/>
              </w:rPr>
            </w:pPr>
            <w:r>
              <w:rPr>
                <w:b/>
                <w:bCs/>
                <w:color w:val="000000"/>
                <w:sz w:val="22"/>
                <w:szCs w:val="22"/>
              </w:rPr>
              <w:t>Минимальное значение</w:t>
            </w:r>
          </w:p>
        </w:tc>
        <w:tc>
          <w:tcPr>
            <w:tcW w:w="8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22"/>
                <w:szCs w:val="22"/>
              </w:rPr>
            </w:pPr>
            <w:r>
              <w:rPr>
                <w:b/>
                <w:bCs/>
                <w:color w:val="000000"/>
                <w:sz w:val="22"/>
                <w:szCs w:val="22"/>
              </w:rPr>
              <w:t>Среднее значение</w:t>
            </w:r>
          </w:p>
        </w:tc>
        <w:tc>
          <w:tcPr>
            <w:tcW w:w="128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jc w:val="center"/>
              <w:rPr>
                <w:b/>
                <w:bCs/>
                <w:color w:val="000000"/>
                <w:sz w:val="22"/>
                <w:szCs w:val="22"/>
              </w:rPr>
            </w:pPr>
            <w:r>
              <w:rPr>
                <w:b/>
                <w:bCs/>
                <w:color w:val="000000"/>
                <w:sz w:val="22"/>
                <w:szCs w:val="22"/>
              </w:rPr>
              <w:t>Максимальное значение</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Абзелиловский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199</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269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812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Альшеевский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281</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733</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Архангельский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204</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569</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Аскинский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137</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567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Аургазинский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261</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869</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Баймакский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300</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454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Баймак</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733</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299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899</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Бакалинский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183</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699</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Балтачевский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141</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350</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Белебеевский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353</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403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1184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Белебей</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791</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487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1387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 xml:space="preserve">Белокатайский муниципальный </w:t>
            </w:r>
            <w:r>
              <w:rPr>
                <w:color w:val="000000"/>
                <w:sz w:val="22"/>
                <w:szCs w:val="22"/>
              </w:rPr>
              <w:t>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150</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322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416</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Белорецкий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336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855</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Белорецк</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929</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1862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Бижбулякский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180</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359</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Бирский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335</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1017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Бирск</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766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595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1512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Благоварский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244</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598</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Благовещенский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386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462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Благовещенск</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859</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486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1052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Буздякский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217</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301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770</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Бураевский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197</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740</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Бурзянский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219</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Гафурийский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214</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745</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Давлекановский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330</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794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Давлеканово</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432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1234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Дуванский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188</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816</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Дюртюлинский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238</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641</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Дюртюли</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305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745</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449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1501</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Ермекеевский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157</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437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Зианчуринский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150</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865</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Зилаирский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125</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651</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Иглинский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544</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347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1506</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Илишевский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188</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781</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Ишимбайский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917</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1026</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Ишимбай</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918</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759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3049</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Калтасинский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208</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584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Караидельский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167</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1052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Кармаскалинский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375</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333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1257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Кигинский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575</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Краснокамский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215</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799</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Кугарчинский</w:t>
            </w:r>
            <w:r>
              <w:rPr>
                <w:color w:val="000000"/>
                <w:sz w:val="22"/>
                <w:szCs w:val="22"/>
              </w:rPr>
              <w:t xml:space="preserve">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134</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539</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Кушнаренковский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728</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Куюргазинский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192</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545</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Мелеузовский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541</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281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1465</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Мелеуз</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324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868</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698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1434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Мечетлинский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152</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640</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Мишкинский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667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Миякинский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169</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631</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Нуримановский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212</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685</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Салаватский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148</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Стерлибашевский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162</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526</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Стерлитамакский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565</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434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1583</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Татышлинский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164</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566</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Туймазинский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302</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261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917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Туймазы</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876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290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1048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2032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Уфимский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540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994</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758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3585</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Учалинский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269</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534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Учалы</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839</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790</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Федоровский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149</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332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607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Хайбуллинский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46</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178</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46</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847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Чекмагушевский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223</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668</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Чишминский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720</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351</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1193</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Шаранский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187</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143</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593</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Янаульский муниципальный район</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337</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Янаул</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262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715</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372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1310</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Агидель</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427</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455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792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Кумертау</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889</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508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1120</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Нефтекамск</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169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1052</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23</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568</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1740</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Октябрьский</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259</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1164</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990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2564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Салават</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174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1207</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807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3021</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Сибай</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140</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896</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82</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467</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1122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Стерлитамак</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50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402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1523</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15</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1142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3362</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город Уфа</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625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2562</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27</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1035</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4854</w:t>
            </w:r>
          </w:p>
        </w:tc>
      </w:tr>
      <w:tr w:rsidR="00E85D42">
        <w:tblPrEx>
          <w:tblCellMar>
            <w:top w:w="0" w:type="dxa"/>
            <w:bottom w:w="0" w:type="dxa"/>
          </w:tblCellMar>
        </w:tblPrEx>
        <w:trPr>
          <w:trHeight w:val="300"/>
        </w:trPr>
        <w:tc>
          <w:tcPr>
            <w:tcW w:w="299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ЗАТО Межгорье</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294</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605</w:t>
            </w:r>
          </w:p>
        </w:tc>
        <w:tc>
          <w:tcPr>
            <w:tcW w:w="122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149</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292</w:t>
            </w:r>
          </w:p>
        </w:tc>
        <w:tc>
          <w:tcPr>
            <w:tcW w:w="12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color w:val="000000"/>
                <w:sz w:val="22"/>
                <w:szCs w:val="22"/>
              </w:rPr>
            </w:pPr>
            <w:r>
              <w:rPr>
                <w:color w:val="000000"/>
                <w:sz w:val="22"/>
                <w:szCs w:val="22"/>
              </w:rPr>
              <w:t>434</w:t>
            </w:r>
          </w:p>
        </w:tc>
      </w:tr>
    </w:tbl>
    <w:p w:rsidR="00E85D42" w:rsidRDefault="00E85D42">
      <w:pPr>
        <w:autoSpaceDE w:val="0"/>
        <w:ind w:firstLine="426"/>
        <w:jc w:val="both"/>
        <w:rPr>
          <w:rFonts w:ascii="Times New Roman CYR" w:hAnsi="Times New Roman CYR" w:cs="Times New Roman CYR"/>
          <w:color w:val="000000"/>
          <w:sz w:val="24"/>
          <w:szCs w:val="24"/>
        </w:rPr>
      </w:pPr>
    </w:p>
    <w:p w:rsidR="00E85D42" w:rsidRDefault="008113B9">
      <w:pPr>
        <w:autoSpaceDE w:val="0"/>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И таблицы видно, что максимальные и средние значения УПКС находятся в границах диапазона удельных показателей цен предложений. По </w:t>
      </w:r>
      <w:r>
        <w:rPr>
          <w:rFonts w:ascii="Times New Roman CYR" w:hAnsi="Times New Roman CYR" w:cs="Times New Roman CYR"/>
          <w:color w:val="000000"/>
          <w:sz w:val="24"/>
          <w:szCs w:val="24"/>
        </w:rPr>
        <w:t>результатам проверки также выявлено отличие значений минимальных удельных показателей кадастровой стоимости от минимальных удельных рыночных цен аналогов в сторону уменьшения. Данный факт связан с тем, что значительная часть объектов-аналогов, представленн</w:t>
      </w:r>
      <w:r>
        <w:rPr>
          <w:rFonts w:ascii="Times New Roman CYR" w:hAnsi="Times New Roman CYR" w:cs="Times New Roman CYR"/>
          <w:color w:val="000000"/>
          <w:sz w:val="24"/>
          <w:szCs w:val="24"/>
        </w:rPr>
        <w:t>ых на рынке предложений является земельными участками под размещение объектов индивидуального жилищного строительства, а также личного подсобного хозяйства, в то время как, минимальные УПКС относятся к земельным участкам под садоводство и огородничество, о</w:t>
      </w:r>
      <w:r>
        <w:rPr>
          <w:rFonts w:ascii="Times New Roman CYR" w:hAnsi="Times New Roman CYR" w:cs="Times New Roman CYR"/>
          <w:color w:val="000000"/>
          <w:sz w:val="24"/>
          <w:szCs w:val="24"/>
        </w:rPr>
        <w:t>тносящимся к более низкой ценовой категории объектов недвижимости.</w:t>
      </w:r>
    </w:p>
    <w:p w:rsidR="00E85D42" w:rsidRDefault="00E85D42">
      <w:pPr>
        <w:autoSpaceDE w:val="0"/>
        <w:ind w:firstLine="426"/>
        <w:jc w:val="both"/>
        <w:rPr>
          <w:rFonts w:ascii="Times New Roman CYR" w:hAnsi="Times New Roman CYR" w:cs="Times New Roman CYR"/>
          <w:color w:val="000000"/>
          <w:sz w:val="24"/>
          <w:szCs w:val="24"/>
        </w:rPr>
      </w:pPr>
    </w:p>
    <w:p w:rsidR="00E85D42" w:rsidRDefault="008113B9">
      <w:pPr>
        <w:pStyle w:val="ab"/>
        <w:keepNext/>
        <w:numPr>
          <w:ilvl w:val="1"/>
          <w:numId w:val="30"/>
        </w:numPr>
        <w:spacing w:before="120" w:after="120"/>
        <w:jc w:val="center"/>
        <w:rPr>
          <w:b/>
          <w:sz w:val="24"/>
        </w:rPr>
      </w:pPr>
      <w:bookmarkStart w:id="158" w:name="_Toc11934902"/>
      <w:r>
        <w:rPr>
          <w:b/>
          <w:sz w:val="24"/>
        </w:rPr>
        <w:t>Проверка качества процессов определения кадастровой стоимости</w:t>
      </w:r>
      <w:bookmarkEnd w:id="157"/>
      <w:bookmarkEnd w:id="158"/>
    </w:p>
    <w:p w:rsidR="00E85D42" w:rsidRDefault="008113B9">
      <w:pPr>
        <w:spacing w:line="20" w:lineRule="atLeast"/>
        <w:ind w:firstLine="640"/>
        <w:jc w:val="both"/>
        <w:rPr>
          <w:sz w:val="24"/>
        </w:rPr>
      </w:pPr>
      <w:r>
        <w:rPr>
          <w:sz w:val="24"/>
        </w:rPr>
        <w:t xml:space="preserve">Согласно п.10.4 Указаний при проверке качества процессов определения кадастровой стоимости была проведена выборочная проверка </w:t>
      </w:r>
      <w:r>
        <w:rPr>
          <w:sz w:val="24"/>
        </w:rPr>
        <w:t xml:space="preserve">индивидуальных расчетов и моделей определение кадастровой стоимости. </w:t>
      </w:r>
    </w:p>
    <w:p w:rsidR="00E85D42" w:rsidRDefault="008113B9">
      <w:pPr>
        <w:spacing w:line="20" w:lineRule="atLeast"/>
        <w:ind w:firstLine="640"/>
        <w:jc w:val="both"/>
        <w:rPr>
          <w:sz w:val="24"/>
        </w:rPr>
      </w:pPr>
      <w:r>
        <w:rPr>
          <w:sz w:val="24"/>
        </w:rPr>
        <w:t>Рассмотрим, как производился расчет кадастровой стоимости земельных участков 13 сегмента на примере одного объекта.</w:t>
      </w:r>
    </w:p>
    <w:p w:rsidR="00E85D42" w:rsidRDefault="008113B9">
      <w:pPr>
        <w:spacing w:before="120"/>
        <w:jc w:val="center"/>
      </w:pPr>
      <w:bookmarkStart w:id="159" w:name="_Toc331096444"/>
      <w:bookmarkStart w:id="160" w:name="_Toc340417701"/>
      <w:bookmarkStart w:id="161" w:name="_Toc436140187"/>
      <w:r>
        <w:rPr>
          <w:bCs/>
          <w:szCs w:val="18"/>
        </w:rPr>
        <w:t xml:space="preserve">Таблица 4.2.1. </w:t>
      </w:r>
      <w:r>
        <w:rPr>
          <w:rFonts w:eastAsia="Calibri"/>
          <w:bCs/>
          <w:szCs w:val="28"/>
          <w:lang w:eastAsia="en-US"/>
        </w:rPr>
        <w:t>Информация о земельном участке:</w:t>
      </w:r>
      <w:bookmarkEnd w:id="159"/>
      <w:bookmarkEnd w:id="160"/>
      <w:bookmarkEnd w:id="161"/>
    </w:p>
    <w:tbl>
      <w:tblPr>
        <w:tblW w:w="7600" w:type="dxa"/>
        <w:jc w:val="center"/>
        <w:tblCellMar>
          <w:left w:w="10" w:type="dxa"/>
          <w:right w:w="10" w:type="dxa"/>
        </w:tblCellMar>
        <w:tblLook w:val="04A0" w:firstRow="1" w:lastRow="0" w:firstColumn="1" w:lastColumn="0" w:noHBand="0" w:noVBand="1"/>
      </w:tblPr>
      <w:tblGrid>
        <w:gridCol w:w="4368"/>
        <w:gridCol w:w="3232"/>
      </w:tblGrid>
      <w:tr w:rsidR="00E85D42">
        <w:tblPrEx>
          <w:tblCellMar>
            <w:top w:w="0" w:type="dxa"/>
            <w:bottom w:w="0" w:type="dxa"/>
          </w:tblCellMar>
        </w:tblPrEx>
        <w:trPr>
          <w:trHeight w:val="360"/>
          <w:jc w:val="center"/>
        </w:trPr>
        <w:tc>
          <w:tcPr>
            <w:tcW w:w="436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r>
              <w:rPr>
                <w:rFonts w:eastAsia="Calibri"/>
                <w:b/>
                <w:bCs/>
                <w:i/>
                <w:sz w:val="22"/>
                <w:szCs w:val="22"/>
                <w:lang w:eastAsia="en-US"/>
              </w:rPr>
              <w:t>Кадастровый номер</w:t>
            </w:r>
          </w:p>
        </w:tc>
        <w:tc>
          <w:tcPr>
            <w:tcW w:w="3232"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rsidR="00E85D42" w:rsidRDefault="008113B9">
            <w:pPr>
              <w:jc w:val="center"/>
              <w:rPr>
                <w:rFonts w:eastAsia="Calibri"/>
                <w:b/>
                <w:sz w:val="22"/>
                <w:lang w:eastAsia="en-US"/>
              </w:rPr>
            </w:pPr>
            <w:r>
              <w:rPr>
                <w:rFonts w:eastAsia="Calibri"/>
                <w:b/>
                <w:sz w:val="22"/>
                <w:lang w:eastAsia="en-US"/>
              </w:rPr>
              <w:t>02:55</w:t>
            </w:r>
            <w:r>
              <w:rPr>
                <w:rFonts w:eastAsia="Calibri"/>
                <w:b/>
                <w:sz w:val="22"/>
                <w:lang w:eastAsia="en-US"/>
              </w:rPr>
              <w:t>:030139:8</w:t>
            </w:r>
          </w:p>
        </w:tc>
      </w:tr>
      <w:tr w:rsidR="00E85D42">
        <w:tblPrEx>
          <w:tblCellMar>
            <w:top w:w="0" w:type="dxa"/>
            <w:bottom w:w="0" w:type="dxa"/>
          </w:tblCellMar>
        </w:tblPrEx>
        <w:trPr>
          <w:trHeight w:val="360"/>
          <w:jc w:val="center"/>
        </w:trPr>
        <w:tc>
          <w:tcPr>
            <w:tcW w:w="4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r>
              <w:rPr>
                <w:rFonts w:eastAsia="Calibri"/>
                <w:bCs/>
                <w:i/>
                <w:sz w:val="22"/>
                <w:szCs w:val="22"/>
                <w:lang w:eastAsia="en-US"/>
              </w:rPr>
              <w:t>Субъект РФ</w:t>
            </w:r>
          </w:p>
        </w:tc>
        <w:tc>
          <w:tcPr>
            <w:tcW w:w="3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rFonts w:eastAsia="Calibri"/>
                <w:sz w:val="22"/>
                <w:lang w:eastAsia="en-US"/>
              </w:rPr>
            </w:pPr>
            <w:r>
              <w:rPr>
                <w:rFonts w:eastAsia="Calibri"/>
                <w:sz w:val="22"/>
                <w:lang w:eastAsia="en-US"/>
              </w:rPr>
              <w:t>Республики Башкортостан</w:t>
            </w:r>
          </w:p>
        </w:tc>
      </w:tr>
      <w:tr w:rsidR="00E85D42">
        <w:tblPrEx>
          <w:tblCellMar>
            <w:top w:w="0" w:type="dxa"/>
            <w:bottom w:w="0" w:type="dxa"/>
          </w:tblCellMar>
        </w:tblPrEx>
        <w:trPr>
          <w:trHeight w:val="360"/>
          <w:jc w:val="center"/>
        </w:trPr>
        <w:tc>
          <w:tcPr>
            <w:tcW w:w="4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r>
              <w:rPr>
                <w:rFonts w:eastAsia="Calibri"/>
                <w:bCs/>
                <w:i/>
                <w:sz w:val="22"/>
                <w:szCs w:val="22"/>
                <w:lang w:eastAsia="en-US"/>
              </w:rPr>
              <w:t>Населенный пункт</w:t>
            </w:r>
          </w:p>
        </w:tc>
        <w:tc>
          <w:tcPr>
            <w:tcW w:w="3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rFonts w:eastAsia="Calibri"/>
                <w:sz w:val="22"/>
                <w:lang w:eastAsia="en-US"/>
              </w:rPr>
            </w:pPr>
            <w:r>
              <w:rPr>
                <w:rFonts w:eastAsia="Calibri"/>
                <w:sz w:val="22"/>
                <w:lang w:eastAsia="en-US"/>
              </w:rPr>
              <w:t>Уфа</w:t>
            </w:r>
          </w:p>
        </w:tc>
      </w:tr>
      <w:tr w:rsidR="00E85D42">
        <w:tblPrEx>
          <w:tblCellMar>
            <w:top w:w="0" w:type="dxa"/>
            <w:bottom w:w="0" w:type="dxa"/>
          </w:tblCellMar>
        </w:tblPrEx>
        <w:trPr>
          <w:trHeight w:val="360"/>
          <w:jc w:val="center"/>
        </w:trPr>
        <w:tc>
          <w:tcPr>
            <w:tcW w:w="4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r>
              <w:rPr>
                <w:rFonts w:eastAsia="Calibri"/>
                <w:bCs/>
                <w:i/>
                <w:sz w:val="22"/>
                <w:szCs w:val="22"/>
                <w:lang w:eastAsia="en-US"/>
              </w:rPr>
              <w:t>Тип населенного пункта</w:t>
            </w:r>
          </w:p>
        </w:tc>
        <w:tc>
          <w:tcPr>
            <w:tcW w:w="3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rFonts w:eastAsia="Calibri"/>
                <w:sz w:val="22"/>
                <w:lang w:eastAsia="en-US"/>
              </w:rPr>
            </w:pPr>
            <w:r>
              <w:rPr>
                <w:rFonts w:eastAsia="Calibri"/>
                <w:sz w:val="22"/>
                <w:lang w:eastAsia="en-US"/>
              </w:rPr>
              <w:t>ГНП</w:t>
            </w:r>
          </w:p>
        </w:tc>
      </w:tr>
      <w:tr w:rsidR="00E85D42">
        <w:tblPrEx>
          <w:tblCellMar>
            <w:top w:w="0" w:type="dxa"/>
            <w:bottom w:w="0" w:type="dxa"/>
          </w:tblCellMar>
        </w:tblPrEx>
        <w:trPr>
          <w:trHeight w:val="360"/>
          <w:jc w:val="center"/>
        </w:trPr>
        <w:tc>
          <w:tcPr>
            <w:tcW w:w="4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r>
              <w:rPr>
                <w:rFonts w:eastAsia="Calibri"/>
                <w:bCs/>
                <w:i/>
                <w:sz w:val="22"/>
                <w:szCs w:val="22"/>
                <w:lang w:eastAsia="en-US"/>
              </w:rPr>
              <w:t>Вид земельного участка</w:t>
            </w:r>
          </w:p>
        </w:tc>
        <w:tc>
          <w:tcPr>
            <w:tcW w:w="3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rFonts w:eastAsia="Calibri"/>
                <w:sz w:val="22"/>
                <w:lang w:eastAsia="en-US"/>
              </w:rPr>
            </w:pPr>
            <w:r>
              <w:rPr>
                <w:rFonts w:eastAsia="Calibri"/>
                <w:sz w:val="22"/>
                <w:lang w:eastAsia="en-US"/>
              </w:rPr>
              <w:t>Землепользование</w:t>
            </w:r>
          </w:p>
        </w:tc>
      </w:tr>
      <w:tr w:rsidR="00E85D42">
        <w:tblPrEx>
          <w:tblCellMar>
            <w:top w:w="0" w:type="dxa"/>
            <w:bottom w:w="0" w:type="dxa"/>
          </w:tblCellMar>
        </w:tblPrEx>
        <w:trPr>
          <w:trHeight w:val="360"/>
          <w:jc w:val="center"/>
        </w:trPr>
        <w:tc>
          <w:tcPr>
            <w:tcW w:w="4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r>
              <w:rPr>
                <w:rFonts w:eastAsia="Calibri"/>
                <w:bCs/>
                <w:i/>
                <w:sz w:val="22"/>
                <w:szCs w:val="22"/>
                <w:lang w:eastAsia="en-US"/>
              </w:rPr>
              <w:t>Вид использования участка</w:t>
            </w:r>
          </w:p>
        </w:tc>
        <w:tc>
          <w:tcPr>
            <w:tcW w:w="3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rFonts w:eastAsia="Calibri"/>
                <w:sz w:val="22"/>
                <w:lang w:eastAsia="en-US"/>
              </w:rPr>
            </w:pPr>
            <w:r>
              <w:rPr>
                <w:rFonts w:eastAsia="Calibri"/>
                <w:sz w:val="22"/>
                <w:lang w:eastAsia="en-US"/>
              </w:rPr>
              <w:t>Для обслуживания жилого дома</w:t>
            </w:r>
          </w:p>
        </w:tc>
      </w:tr>
      <w:tr w:rsidR="00E85D42">
        <w:tblPrEx>
          <w:tblCellMar>
            <w:top w:w="0" w:type="dxa"/>
            <w:bottom w:w="0" w:type="dxa"/>
          </w:tblCellMar>
        </w:tblPrEx>
        <w:trPr>
          <w:trHeight w:val="360"/>
          <w:jc w:val="center"/>
        </w:trPr>
        <w:tc>
          <w:tcPr>
            <w:tcW w:w="4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rPr>
                <w:rFonts w:eastAsia="Calibri"/>
                <w:bCs/>
                <w:i/>
                <w:sz w:val="22"/>
                <w:szCs w:val="22"/>
                <w:lang w:eastAsia="en-US"/>
              </w:rPr>
            </w:pPr>
            <w:r>
              <w:rPr>
                <w:rFonts w:eastAsia="Calibri"/>
                <w:bCs/>
                <w:i/>
                <w:sz w:val="22"/>
                <w:szCs w:val="22"/>
                <w:lang w:eastAsia="en-US"/>
              </w:rPr>
              <w:t>Площадь</w:t>
            </w:r>
          </w:p>
        </w:tc>
        <w:tc>
          <w:tcPr>
            <w:tcW w:w="32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rPr>
                <w:rFonts w:eastAsia="Calibri"/>
                <w:sz w:val="22"/>
                <w:lang w:eastAsia="en-US"/>
              </w:rPr>
            </w:pPr>
            <w:r>
              <w:rPr>
                <w:rFonts w:eastAsia="Calibri"/>
                <w:sz w:val="22"/>
                <w:lang w:eastAsia="en-US"/>
              </w:rPr>
              <w:t>426 кв.м.</w:t>
            </w:r>
          </w:p>
        </w:tc>
      </w:tr>
    </w:tbl>
    <w:p w:rsidR="00E85D42" w:rsidRDefault="008113B9">
      <w:pPr>
        <w:spacing w:line="20" w:lineRule="atLeast"/>
        <w:ind w:firstLine="640"/>
        <w:jc w:val="both"/>
        <w:rPr>
          <w:sz w:val="24"/>
        </w:rPr>
      </w:pPr>
      <w:r>
        <w:rPr>
          <w:sz w:val="24"/>
        </w:rPr>
        <w:t xml:space="preserve">Для построения статистической модели были </w:t>
      </w:r>
      <w:r>
        <w:rPr>
          <w:sz w:val="24"/>
        </w:rPr>
        <w:t>отобраны следующие ценообразующие факторы, оказывающие существенное влияние на стоимость объектов капитального строительства в подгруппе:</w:t>
      </w:r>
    </w:p>
    <w:p w:rsidR="00E85D42" w:rsidRDefault="008113B9">
      <w:pPr>
        <w:spacing w:line="20" w:lineRule="atLeast"/>
        <w:ind w:firstLine="640"/>
        <w:jc w:val="both"/>
        <w:rPr>
          <w:sz w:val="24"/>
        </w:rPr>
      </w:pPr>
      <w:r>
        <w:rPr>
          <w:sz w:val="24"/>
        </w:rPr>
        <w:t>Расстояние до общественно-делового центра</w:t>
      </w:r>
    </w:p>
    <w:p w:rsidR="00E85D42" w:rsidRDefault="008113B9">
      <w:pPr>
        <w:spacing w:line="20" w:lineRule="atLeast"/>
        <w:ind w:firstLine="640"/>
        <w:jc w:val="both"/>
        <w:rPr>
          <w:sz w:val="24"/>
        </w:rPr>
      </w:pPr>
      <w:r>
        <w:rPr>
          <w:sz w:val="24"/>
        </w:rPr>
        <w:t>Расстояние до объектов социальной инфраструктуры</w:t>
      </w:r>
    </w:p>
    <w:p w:rsidR="00E85D42" w:rsidRDefault="008113B9">
      <w:pPr>
        <w:spacing w:line="20" w:lineRule="atLeast"/>
        <w:ind w:firstLine="640"/>
        <w:jc w:val="both"/>
        <w:rPr>
          <w:sz w:val="24"/>
        </w:rPr>
      </w:pPr>
      <w:r>
        <w:rPr>
          <w:sz w:val="24"/>
        </w:rPr>
        <w:t>Расстояние до остановок общ</w:t>
      </w:r>
      <w:r>
        <w:rPr>
          <w:sz w:val="24"/>
        </w:rPr>
        <w:t>ественного транспорта</w:t>
      </w:r>
    </w:p>
    <w:p w:rsidR="00E85D42" w:rsidRDefault="008113B9">
      <w:pPr>
        <w:spacing w:line="20" w:lineRule="atLeast"/>
        <w:ind w:firstLine="640"/>
        <w:jc w:val="both"/>
        <w:rPr>
          <w:sz w:val="24"/>
        </w:rPr>
      </w:pPr>
      <w:r>
        <w:rPr>
          <w:sz w:val="24"/>
        </w:rPr>
        <w:t>По результатам корреляционно регрессионного анализа рыночных цен и ценообразующих факторов, оказывающих существенное влияние на стоимость объектов в АИС ГКО была построена экспоненциальная модель расчета УПКС земельного участка с када</w:t>
      </w:r>
      <w:r>
        <w:rPr>
          <w:sz w:val="24"/>
        </w:rPr>
        <w:t>стровым номером 02:55:030139:8. Тип и значения коэффициентов построенной модели определяются средствами АИС ГКО и выгружаются в табличном виде в формате Excel или Open Document.</w:t>
      </w:r>
    </w:p>
    <w:p w:rsidR="00E85D42" w:rsidRDefault="008113B9">
      <w:pPr>
        <w:spacing w:line="20" w:lineRule="atLeast"/>
        <w:ind w:firstLine="640"/>
        <w:jc w:val="both"/>
        <w:rPr>
          <w:sz w:val="24"/>
        </w:rPr>
      </w:pPr>
      <w:r>
        <w:rPr>
          <w:sz w:val="24"/>
        </w:rPr>
        <w:t>В результате анализа качества выявлено, что данная статистическая модель удовл</w:t>
      </w:r>
      <w:r>
        <w:rPr>
          <w:sz w:val="24"/>
        </w:rPr>
        <w:t>етворяет критериям качества.</w:t>
      </w:r>
    </w:p>
    <w:p w:rsidR="00E85D42" w:rsidRDefault="008113B9">
      <w:pPr>
        <w:spacing w:line="20" w:lineRule="atLeast"/>
        <w:ind w:firstLine="640"/>
        <w:jc w:val="both"/>
        <w:rPr>
          <w:sz w:val="24"/>
        </w:rPr>
      </w:pPr>
      <w:r>
        <w:rPr>
          <w:sz w:val="24"/>
        </w:rPr>
        <w:t>Расчет УПКС земельного участка с кадастровым номером 02:55:030139:8 осуществлялся путем подстановки значений ценообразующих факторов в формулу модели.</w:t>
      </w:r>
    </w:p>
    <w:p w:rsidR="00E85D42" w:rsidRDefault="00E85D42">
      <w:pPr>
        <w:spacing w:line="20" w:lineRule="atLeast"/>
        <w:ind w:firstLine="640"/>
        <w:jc w:val="both"/>
        <w:rPr>
          <w:sz w:val="24"/>
        </w:rPr>
      </w:pPr>
      <w:bookmarkStart w:id="162" w:name="_Toc310842024"/>
      <w:bookmarkStart w:id="163" w:name="_Toc331096445"/>
      <w:bookmarkStart w:id="164" w:name="_Toc340417702"/>
      <w:bookmarkStart w:id="165" w:name="_Toc436140188"/>
    </w:p>
    <w:p w:rsidR="00E85D42" w:rsidRDefault="008113B9">
      <w:pPr>
        <w:spacing w:line="20" w:lineRule="atLeast"/>
        <w:ind w:firstLine="640"/>
        <w:jc w:val="both"/>
        <w:rPr>
          <w:sz w:val="24"/>
        </w:rPr>
      </w:pPr>
      <w:r>
        <w:rPr>
          <w:sz w:val="24"/>
        </w:rPr>
        <w:t>Таблица 4.2.2. Значения ценообразующих факторов (меток) объекта капитальног</w:t>
      </w:r>
      <w:r>
        <w:rPr>
          <w:sz w:val="24"/>
        </w:rPr>
        <w:t xml:space="preserve">о строительства с кадастровым номером </w:t>
      </w:r>
      <w:bookmarkEnd w:id="162"/>
      <w:bookmarkEnd w:id="163"/>
      <w:bookmarkEnd w:id="164"/>
      <w:bookmarkEnd w:id="165"/>
      <w:r>
        <w:rPr>
          <w:sz w:val="24"/>
        </w:rPr>
        <w:t>02:55:030139:8</w:t>
      </w:r>
    </w:p>
    <w:tbl>
      <w:tblPr>
        <w:tblW w:w="9316" w:type="dxa"/>
        <w:tblCellMar>
          <w:left w:w="10" w:type="dxa"/>
          <w:right w:w="10" w:type="dxa"/>
        </w:tblCellMar>
        <w:tblLook w:val="04A0" w:firstRow="1" w:lastRow="0" w:firstColumn="1" w:lastColumn="0" w:noHBand="0" w:noVBand="1"/>
      </w:tblPr>
      <w:tblGrid>
        <w:gridCol w:w="5948"/>
        <w:gridCol w:w="3368"/>
      </w:tblGrid>
      <w:tr w:rsidR="00E85D42">
        <w:tblPrEx>
          <w:tblCellMar>
            <w:top w:w="0" w:type="dxa"/>
            <w:bottom w:w="0" w:type="dxa"/>
          </w:tblCellMar>
        </w:tblPrEx>
        <w:trPr>
          <w:trHeight w:val="20"/>
          <w:tblHeader/>
        </w:trPr>
        <w:tc>
          <w:tcPr>
            <w:tcW w:w="594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E85D42" w:rsidRDefault="008113B9">
            <w:pPr>
              <w:jc w:val="center"/>
            </w:pPr>
            <w:r>
              <w:rPr>
                <w:rFonts w:eastAsia="Calibri"/>
                <w:b/>
                <w:bCs/>
                <w:sz w:val="22"/>
                <w:szCs w:val="22"/>
                <w:lang w:eastAsia="en-US"/>
              </w:rPr>
              <w:t>Наименование ценообразующего фактора</w:t>
            </w:r>
          </w:p>
        </w:tc>
        <w:tc>
          <w:tcPr>
            <w:tcW w:w="3368"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rsidR="00E85D42" w:rsidRDefault="008113B9">
            <w:pPr>
              <w:jc w:val="center"/>
            </w:pPr>
            <w:r>
              <w:rPr>
                <w:rFonts w:eastAsia="Calibri"/>
                <w:b/>
                <w:bCs/>
                <w:sz w:val="22"/>
                <w:szCs w:val="22"/>
                <w:lang w:eastAsia="en-US"/>
              </w:rPr>
              <w:t>Значение ценообразующего фактора</w:t>
            </w:r>
          </w:p>
        </w:tc>
      </w:tr>
      <w:tr w:rsidR="00E85D42">
        <w:tblPrEx>
          <w:tblCellMar>
            <w:top w:w="0" w:type="dxa"/>
            <w:bottom w:w="0" w:type="dxa"/>
          </w:tblCellMar>
        </w:tblPrEx>
        <w:trPr>
          <w:trHeight w:val="20"/>
        </w:trPr>
        <w:tc>
          <w:tcPr>
            <w:tcW w:w="5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Расстояние до общественно-делового центра</w:t>
            </w:r>
          </w:p>
        </w:tc>
        <w:tc>
          <w:tcPr>
            <w:tcW w:w="33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jc w:val="center"/>
            </w:pPr>
            <w:r>
              <w:rPr>
                <w:rFonts w:eastAsia="Calibri"/>
                <w:sz w:val="22"/>
                <w:szCs w:val="22"/>
                <w:lang w:eastAsia="en-US"/>
              </w:rPr>
              <w:t>3 785,26</w:t>
            </w:r>
          </w:p>
        </w:tc>
      </w:tr>
      <w:tr w:rsidR="00E85D42">
        <w:tblPrEx>
          <w:tblCellMar>
            <w:top w:w="0" w:type="dxa"/>
            <w:bottom w:w="0" w:type="dxa"/>
          </w:tblCellMar>
        </w:tblPrEx>
        <w:trPr>
          <w:trHeight w:val="20"/>
        </w:trPr>
        <w:tc>
          <w:tcPr>
            <w:tcW w:w="5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Расстояние до объектов социальной инфраструктуры</w:t>
            </w:r>
          </w:p>
        </w:tc>
        <w:tc>
          <w:tcPr>
            <w:tcW w:w="33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rFonts w:eastAsia="Calibri"/>
                <w:sz w:val="22"/>
                <w:szCs w:val="22"/>
                <w:lang w:eastAsia="en-US"/>
              </w:rPr>
              <w:t>267,59</w:t>
            </w:r>
          </w:p>
        </w:tc>
      </w:tr>
      <w:tr w:rsidR="00E85D42">
        <w:tblPrEx>
          <w:tblCellMar>
            <w:top w:w="0" w:type="dxa"/>
            <w:bottom w:w="0" w:type="dxa"/>
          </w:tblCellMar>
        </w:tblPrEx>
        <w:trPr>
          <w:trHeight w:val="20"/>
        </w:trPr>
        <w:tc>
          <w:tcPr>
            <w:tcW w:w="5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Расстояние до остановок</w:t>
            </w:r>
            <w:r>
              <w:rPr>
                <w:color w:val="000000"/>
                <w:sz w:val="22"/>
                <w:szCs w:val="22"/>
              </w:rPr>
              <w:t xml:space="preserve"> общественного транспорта</w:t>
            </w:r>
          </w:p>
        </w:tc>
        <w:tc>
          <w:tcPr>
            <w:tcW w:w="33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85D42" w:rsidRDefault="008113B9">
            <w:pPr>
              <w:jc w:val="center"/>
            </w:pPr>
            <w:r>
              <w:rPr>
                <w:rFonts w:eastAsia="Calibri"/>
                <w:sz w:val="22"/>
                <w:szCs w:val="22"/>
                <w:lang w:eastAsia="en-US"/>
              </w:rPr>
              <w:t>176,65</w:t>
            </w:r>
          </w:p>
        </w:tc>
      </w:tr>
    </w:tbl>
    <w:p w:rsidR="00E85D42" w:rsidRDefault="008113B9">
      <w:pPr>
        <w:spacing w:line="20" w:lineRule="atLeast"/>
        <w:ind w:firstLine="640"/>
        <w:jc w:val="both"/>
        <w:rPr>
          <w:sz w:val="24"/>
        </w:rPr>
      </w:pPr>
      <w:r>
        <w:rPr>
          <w:sz w:val="24"/>
        </w:rPr>
        <w:t>В АИС ГКО построена следующая статистическая модель для данной подгруппы:</w:t>
      </w:r>
    </w:p>
    <w:p w:rsidR="00E85D42" w:rsidRDefault="00E85D42">
      <w:pPr>
        <w:spacing w:line="20" w:lineRule="atLeast"/>
        <w:ind w:firstLine="640"/>
        <w:jc w:val="both"/>
        <w:rPr>
          <w:sz w:val="24"/>
        </w:rPr>
      </w:pPr>
    </w:p>
    <w:p w:rsidR="00E85D42" w:rsidRDefault="008113B9">
      <w:pPr>
        <w:spacing w:line="20" w:lineRule="atLeast"/>
        <w:ind w:firstLine="640"/>
        <w:jc w:val="both"/>
        <w:rPr>
          <w:sz w:val="24"/>
        </w:rPr>
      </w:pPr>
      <w:r>
        <w:rPr>
          <w:sz w:val="24"/>
        </w:rPr>
        <w:t xml:space="preserve">УПКС = 393.0436412281404 * e^(0.6235042981684287 * Расстояние до общественно-делового центра + 0.20990067789754596 * Расстояние до объектов </w:t>
      </w:r>
      <w:r>
        <w:rPr>
          <w:sz w:val="24"/>
        </w:rPr>
        <w:t>социальной инфраструктуры + 0.3242582523347355 * Расстояние до остановок общественного транспорта)</w:t>
      </w:r>
    </w:p>
    <w:p w:rsidR="00E85D42" w:rsidRDefault="00E85D42">
      <w:pPr>
        <w:spacing w:line="20" w:lineRule="atLeast"/>
        <w:ind w:firstLine="640"/>
        <w:jc w:val="both"/>
        <w:rPr>
          <w:sz w:val="24"/>
        </w:rPr>
      </w:pPr>
    </w:p>
    <w:p w:rsidR="00E85D42" w:rsidRDefault="008113B9">
      <w:pPr>
        <w:spacing w:line="20" w:lineRule="atLeast"/>
        <w:ind w:firstLine="640"/>
        <w:jc w:val="both"/>
        <w:rPr>
          <w:sz w:val="24"/>
        </w:rPr>
      </w:pPr>
      <w:r>
        <w:rPr>
          <w:sz w:val="24"/>
        </w:rPr>
        <w:t>Формула для расчета</w:t>
      </w:r>
    </w:p>
    <w:p w:rsidR="00E85D42" w:rsidRDefault="008113B9">
      <w:pPr>
        <w:spacing w:line="20" w:lineRule="atLeast"/>
        <w:ind w:firstLine="640"/>
        <w:jc w:val="both"/>
        <w:rPr>
          <w:sz w:val="24"/>
        </w:rPr>
      </w:pPr>
      <w:r>
        <w:rPr>
          <w:sz w:val="24"/>
        </w:rPr>
        <w:t>Y=393.0436412281404 * e(0.6235042981684287 * F1 + 0.20990067789754596 * F2 + 0.3242582523347355 * F3)</w:t>
      </w:r>
    </w:p>
    <w:tbl>
      <w:tblPr>
        <w:tblW w:w="5000" w:type="pct"/>
        <w:tblLayout w:type="fixed"/>
        <w:tblCellMar>
          <w:left w:w="10" w:type="dxa"/>
          <w:right w:w="10" w:type="dxa"/>
        </w:tblCellMar>
        <w:tblLook w:val="04A0" w:firstRow="1" w:lastRow="0" w:firstColumn="1" w:lastColumn="0" w:noHBand="0" w:noVBand="1"/>
      </w:tblPr>
      <w:tblGrid>
        <w:gridCol w:w="3973"/>
        <w:gridCol w:w="1333"/>
        <w:gridCol w:w="4408"/>
      </w:tblGrid>
      <w:tr w:rsidR="00E85D42">
        <w:tblPrEx>
          <w:tblCellMar>
            <w:top w:w="0" w:type="dxa"/>
            <w:bottom w:w="0" w:type="dxa"/>
          </w:tblCellMar>
        </w:tblPrEx>
        <w:trPr>
          <w:trHeight w:val="540"/>
        </w:trPr>
        <w:tc>
          <w:tcPr>
            <w:tcW w:w="39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Ценообразующий фактор</w:t>
            </w:r>
          </w:p>
        </w:tc>
        <w:tc>
          <w:tcPr>
            <w:tcW w:w="133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pPr>
            <w:r>
              <w:rPr>
                <w:sz w:val="22"/>
                <w:szCs w:val="22"/>
              </w:rPr>
              <w:t>№</w:t>
            </w:r>
          </w:p>
        </w:tc>
        <w:tc>
          <w:tcPr>
            <w:tcW w:w="440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pStyle w:val="Standarduser"/>
              <w:ind w:firstLine="33"/>
              <w:jc w:val="center"/>
            </w:pPr>
            <w:r>
              <w:rPr>
                <w:sz w:val="22"/>
                <w:szCs w:val="22"/>
              </w:rPr>
              <w:t>Формула дл</w:t>
            </w:r>
            <w:r>
              <w:rPr>
                <w:sz w:val="22"/>
                <w:szCs w:val="22"/>
              </w:rPr>
              <w:t>я расчета меток</w:t>
            </w:r>
          </w:p>
        </w:tc>
      </w:tr>
      <w:tr w:rsidR="00E85D42">
        <w:tblPrEx>
          <w:tblCellMar>
            <w:top w:w="0" w:type="dxa"/>
            <w:bottom w:w="0" w:type="dxa"/>
          </w:tblCellMar>
        </w:tblPrEx>
        <w:trPr>
          <w:trHeight w:val="540"/>
        </w:trPr>
        <w:tc>
          <w:tcPr>
            <w:tcW w:w="397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Расстояние до общественно-делового центра</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F1</w:t>
            </w:r>
          </w:p>
        </w:tc>
        <w:tc>
          <w:tcPr>
            <w:tcW w:w="44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4658.856585365854 / (2585.7780000000002 + X0)</w:t>
            </w:r>
          </w:p>
        </w:tc>
      </w:tr>
      <w:tr w:rsidR="00E85D42">
        <w:tblPrEx>
          <w:tblCellMar>
            <w:top w:w="0" w:type="dxa"/>
            <w:bottom w:w="0" w:type="dxa"/>
          </w:tblCellMar>
        </w:tblPrEx>
        <w:trPr>
          <w:trHeight w:val="525"/>
        </w:trPr>
        <w:tc>
          <w:tcPr>
            <w:tcW w:w="397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Расстояние до объектов социальной инфраструктуры</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F2</w:t>
            </w:r>
          </w:p>
        </w:tc>
        <w:tc>
          <w:tcPr>
            <w:tcW w:w="44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3663.4463414634147 / (2736.076 + X1)</w:t>
            </w:r>
          </w:p>
        </w:tc>
      </w:tr>
      <w:tr w:rsidR="00E85D42">
        <w:tblPrEx>
          <w:tblCellMar>
            <w:top w:w="0" w:type="dxa"/>
            <w:bottom w:w="0" w:type="dxa"/>
          </w:tblCellMar>
        </w:tblPrEx>
        <w:trPr>
          <w:trHeight w:val="300"/>
        </w:trPr>
        <w:tc>
          <w:tcPr>
            <w:tcW w:w="397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Расстояние до остановок общественного транспорта</w:t>
            </w:r>
          </w:p>
        </w:tc>
        <w:tc>
          <w:tcPr>
            <w:tcW w:w="133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F3</w:t>
            </w:r>
          </w:p>
        </w:tc>
        <w:tc>
          <w:tcPr>
            <w:tcW w:w="44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E85D42" w:rsidRDefault="008113B9">
            <w:pPr>
              <w:ind w:firstLine="33"/>
              <w:jc w:val="center"/>
              <w:rPr>
                <w:color w:val="000000"/>
                <w:sz w:val="22"/>
                <w:szCs w:val="22"/>
              </w:rPr>
            </w:pPr>
            <w:r>
              <w:rPr>
                <w:color w:val="000000"/>
                <w:sz w:val="22"/>
                <w:szCs w:val="22"/>
              </w:rPr>
              <w:t>1104.3826829268291 / (709.8180000000001 + X2)</w:t>
            </w:r>
          </w:p>
        </w:tc>
      </w:tr>
    </w:tbl>
    <w:p w:rsidR="00E85D42" w:rsidRDefault="008113B9">
      <w:pPr>
        <w:spacing w:line="20" w:lineRule="atLeast"/>
        <w:ind w:firstLine="640"/>
        <w:jc w:val="both"/>
        <w:rPr>
          <w:sz w:val="24"/>
        </w:rPr>
      </w:pPr>
      <w:r>
        <w:rPr>
          <w:sz w:val="24"/>
        </w:rPr>
        <w:t>Примечание: X0, X1, X2 – значения ценообразующего фактора.</w:t>
      </w:r>
    </w:p>
    <w:p w:rsidR="00E85D42" w:rsidRDefault="008113B9">
      <w:pPr>
        <w:spacing w:line="20" w:lineRule="atLeast"/>
        <w:ind w:firstLine="640"/>
        <w:jc w:val="both"/>
        <w:rPr>
          <w:sz w:val="24"/>
        </w:rPr>
      </w:pPr>
      <w:r>
        <w:rPr>
          <w:sz w:val="24"/>
        </w:rPr>
        <w:t>Подставим значения ценообразующих факторов (меток) земельного участка с кадастровым номером 02:55:030139:8 в данную статистическую модель:</w:t>
      </w:r>
    </w:p>
    <w:p w:rsidR="00E85D42" w:rsidRDefault="008113B9">
      <w:pPr>
        <w:spacing w:line="20" w:lineRule="atLeast"/>
        <w:ind w:firstLine="640"/>
        <w:jc w:val="both"/>
        <w:rPr>
          <w:sz w:val="24"/>
        </w:rPr>
      </w:pPr>
      <w:r>
        <w:rPr>
          <w:sz w:val="24"/>
        </w:rPr>
        <w:t xml:space="preserve">УПКС </w:t>
      </w:r>
      <w:r>
        <w:rPr>
          <w:sz w:val="24"/>
        </w:rPr>
        <w:t>=393,04364122814*2,71828182846^(0,623504298168428*(4658,85658536585/(2585,778+3785,26))+ 0,209900677897545*(3663,44634146341/(2736,076+267,59))+0,324258252334735*(1104,38268292682/(709,818+176,65)))= 1 199,71 руб./кв.м.</w:t>
      </w:r>
    </w:p>
    <w:p w:rsidR="00E85D42" w:rsidRDefault="008113B9">
      <w:pPr>
        <w:spacing w:line="20" w:lineRule="atLeast"/>
        <w:ind w:firstLine="640"/>
        <w:jc w:val="both"/>
        <w:rPr>
          <w:sz w:val="24"/>
        </w:rPr>
      </w:pPr>
      <w:r>
        <w:rPr>
          <w:sz w:val="24"/>
        </w:rPr>
        <w:t>Согласно отчетным материалам значени</w:t>
      </w:r>
      <w:r>
        <w:rPr>
          <w:sz w:val="24"/>
        </w:rPr>
        <w:t>е УПКС земельного участка с кадастровым номером 02:55:030139:8, отнесенного к подгруппе («Уфа»), также составляет 1 199,71 руб./кв.м.</w:t>
      </w:r>
    </w:p>
    <w:p w:rsidR="00E85D42" w:rsidRDefault="008113B9">
      <w:pPr>
        <w:spacing w:line="20" w:lineRule="atLeast"/>
        <w:ind w:firstLine="640"/>
        <w:jc w:val="both"/>
        <w:rPr>
          <w:sz w:val="24"/>
        </w:rPr>
      </w:pPr>
      <w:r>
        <w:rPr>
          <w:sz w:val="24"/>
        </w:rPr>
        <w:t>Кадастровая стоимость объекта недвижимости определяется путем умножения УПКС объекта недвижимости на его площадь:</w:t>
      </w:r>
    </w:p>
    <w:p w:rsidR="00E85D42" w:rsidRDefault="008113B9">
      <w:pPr>
        <w:spacing w:line="20" w:lineRule="atLeast"/>
        <w:ind w:firstLine="640"/>
        <w:jc w:val="both"/>
        <w:rPr>
          <w:sz w:val="24"/>
        </w:rPr>
      </w:pPr>
      <w:r>
        <w:rPr>
          <w:sz w:val="24"/>
        </w:rPr>
        <w:t>КС (02:5</w:t>
      </w:r>
      <w:r>
        <w:rPr>
          <w:sz w:val="24"/>
        </w:rPr>
        <w:t>5:030139:8) = УПКС (02:55:030139:8) * площадь земельного участка.</w:t>
      </w:r>
    </w:p>
    <w:p w:rsidR="00E85D42" w:rsidRDefault="008113B9">
      <w:pPr>
        <w:spacing w:line="20" w:lineRule="atLeast"/>
        <w:ind w:firstLine="640"/>
        <w:jc w:val="both"/>
        <w:rPr>
          <w:sz w:val="24"/>
        </w:rPr>
      </w:pPr>
      <w:r>
        <w:rPr>
          <w:sz w:val="24"/>
        </w:rPr>
        <w:t>КС (02:55:030139:8) = 1 199,71 * 426 = 511 076,46 руб.</w:t>
      </w:r>
    </w:p>
    <w:p w:rsidR="00E85D42" w:rsidRDefault="00E85D42">
      <w:pPr>
        <w:spacing w:line="20" w:lineRule="atLeast"/>
        <w:ind w:firstLine="640"/>
        <w:jc w:val="both"/>
        <w:rPr>
          <w:sz w:val="24"/>
        </w:rPr>
      </w:pPr>
    </w:p>
    <w:p w:rsidR="00E85D42" w:rsidRDefault="008113B9">
      <w:pPr>
        <w:spacing w:line="20" w:lineRule="atLeast"/>
        <w:ind w:firstLine="640"/>
        <w:jc w:val="both"/>
        <w:rPr>
          <w:sz w:val="24"/>
        </w:rPr>
      </w:pPr>
      <w:r>
        <w:rPr>
          <w:sz w:val="24"/>
        </w:rPr>
        <w:t>Таким образом, результат выборочной проверки совпал с результатом определения кадастровой стоимости в пределах округления итогового зн</w:t>
      </w:r>
      <w:r>
        <w:rPr>
          <w:sz w:val="24"/>
        </w:rPr>
        <w:t>ачения, что свидетельствует о корректности выполненных расчетов.</w:t>
      </w:r>
    </w:p>
    <w:p w:rsidR="00E85D42" w:rsidRDefault="00E85D42">
      <w:pPr>
        <w:spacing w:line="20" w:lineRule="atLeast"/>
        <w:ind w:firstLine="640"/>
        <w:jc w:val="both"/>
        <w:rPr>
          <w:sz w:val="24"/>
        </w:rPr>
      </w:pPr>
    </w:p>
    <w:p w:rsidR="00E85D42" w:rsidRDefault="008113B9">
      <w:pPr>
        <w:keepNext/>
        <w:spacing w:before="120" w:after="120"/>
        <w:ind w:left="426" w:hanging="426"/>
        <w:jc w:val="center"/>
        <w:outlineLvl w:val="1"/>
        <w:rPr>
          <w:b/>
          <w:sz w:val="24"/>
        </w:rPr>
      </w:pPr>
      <w:bookmarkStart w:id="166" w:name="_Toc11934903"/>
      <w:r>
        <w:rPr>
          <w:b/>
          <w:sz w:val="24"/>
        </w:rPr>
        <w:t>4.3. Результаты определения кадастровой стоимости</w:t>
      </w:r>
      <w:bookmarkEnd w:id="166"/>
    </w:p>
    <w:p w:rsidR="00E85D42" w:rsidRDefault="008113B9">
      <w:pPr>
        <w:ind w:firstLine="640"/>
        <w:jc w:val="both"/>
        <w:rPr>
          <w:color w:val="000000"/>
          <w:sz w:val="24"/>
        </w:rPr>
      </w:pPr>
      <w:r>
        <w:rPr>
          <w:color w:val="000000"/>
          <w:sz w:val="24"/>
        </w:rPr>
        <w:t>Результаты определения кадастровой стоимости земельных участков представлены в Приложении 2.</w:t>
      </w:r>
    </w:p>
    <w:p w:rsidR="00E85D42" w:rsidRDefault="00E85D42">
      <w:pPr>
        <w:spacing w:line="20" w:lineRule="atLeast"/>
        <w:ind w:firstLine="640"/>
        <w:jc w:val="both"/>
        <w:rPr>
          <w:sz w:val="24"/>
        </w:rPr>
      </w:pPr>
    </w:p>
    <w:p w:rsidR="00E85D42" w:rsidRDefault="00E85D42">
      <w:pPr>
        <w:spacing w:line="20" w:lineRule="atLeast"/>
        <w:ind w:firstLine="640"/>
        <w:jc w:val="both"/>
        <w:rPr>
          <w:sz w:val="24"/>
        </w:rPr>
      </w:pPr>
    </w:p>
    <w:p w:rsidR="00E85D42" w:rsidRDefault="00E85D42">
      <w:pPr>
        <w:spacing w:line="20" w:lineRule="atLeast"/>
        <w:ind w:firstLine="640"/>
        <w:jc w:val="both"/>
        <w:rPr>
          <w:sz w:val="24"/>
        </w:rPr>
      </w:pPr>
    </w:p>
    <w:p w:rsidR="00E85D42" w:rsidRDefault="00E85D42">
      <w:pPr>
        <w:spacing w:line="20" w:lineRule="atLeast"/>
        <w:ind w:firstLine="640"/>
        <w:jc w:val="both"/>
        <w:rPr>
          <w:sz w:val="24"/>
        </w:rPr>
      </w:pPr>
    </w:p>
    <w:p w:rsidR="00E85D42" w:rsidRDefault="00E85D42">
      <w:pPr>
        <w:spacing w:line="20" w:lineRule="atLeast"/>
        <w:ind w:firstLine="640"/>
        <w:jc w:val="both"/>
        <w:rPr>
          <w:sz w:val="24"/>
        </w:rPr>
      </w:pPr>
    </w:p>
    <w:p w:rsidR="00E85D42" w:rsidRDefault="00E85D42">
      <w:pPr>
        <w:spacing w:line="20" w:lineRule="atLeast"/>
        <w:ind w:firstLine="640"/>
        <w:jc w:val="both"/>
        <w:rPr>
          <w:sz w:val="24"/>
        </w:rPr>
      </w:pPr>
    </w:p>
    <w:p w:rsidR="00E85D42" w:rsidRDefault="00E85D42">
      <w:pPr>
        <w:spacing w:line="20" w:lineRule="atLeast"/>
        <w:ind w:firstLine="640"/>
        <w:jc w:val="both"/>
        <w:rPr>
          <w:sz w:val="24"/>
        </w:rPr>
      </w:pPr>
    </w:p>
    <w:tbl>
      <w:tblPr>
        <w:tblW w:w="9671" w:type="dxa"/>
        <w:tblCellMar>
          <w:left w:w="10" w:type="dxa"/>
          <w:right w:w="10" w:type="dxa"/>
        </w:tblCellMar>
        <w:tblLook w:val="04A0" w:firstRow="1" w:lastRow="0" w:firstColumn="1" w:lastColumn="0" w:noHBand="0" w:noVBand="1"/>
      </w:tblPr>
      <w:tblGrid>
        <w:gridCol w:w="4928"/>
        <w:gridCol w:w="425"/>
        <w:gridCol w:w="1559"/>
        <w:gridCol w:w="242"/>
        <w:gridCol w:w="2517"/>
      </w:tblGrid>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Руководитель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Хазиев</w:t>
            </w:r>
            <w:r>
              <w:rPr>
                <w:sz w:val="24"/>
              </w:rPr>
              <w:t xml:space="preserve"> Р.Р.</w:t>
            </w: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6"/>
                <w:szCs w:val="6"/>
              </w:rPr>
            </w:pPr>
          </w:p>
        </w:tc>
        <w:tc>
          <w:tcPr>
            <w:tcW w:w="425"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1559"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42"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517" w:type="dxa"/>
            <w:shd w:val="clear" w:color="auto" w:fill="auto"/>
            <w:tcMar>
              <w:top w:w="0" w:type="dxa"/>
              <w:left w:w="108" w:type="dxa"/>
              <w:bottom w:w="0" w:type="dxa"/>
              <w:right w:w="108" w:type="dxa"/>
            </w:tcMar>
            <w:vAlign w:val="bottom"/>
          </w:tcPr>
          <w:p w:rsidR="00E85D42" w:rsidRDefault="00E85D42">
            <w:pPr>
              <w:jc w:val="both"/>
              <w:rPr>
                <w:sz w:val="6"/>
                <w:szCs w:val="6"/>
              </w:rPr>
            </w:pP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Начальник отдела государственной кадастровой оценки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Саитгалин Р.А.</w:t>
            </w: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6"/>
                <w:szCs w:val="6"/>
              </w:rPr>
            </w:pPr>
          </w:p>
        </w:tc>
        <w:tc>
          <w:tcPr>
            <w:tcW w:w="425"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1559"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42"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517" w:type="dxa"/>
            <w:shd w:val="clear" w:color="auto" w:fill="auto"/>
            <w:tcMar>
              <w:top w:w="0" w:type="dxa"/>
              <w:left w:w="108" w:type="dxa"/>
              <w:bottom w:w="0" w:type="dxa"/>
              <w:right w:w="108" w:type="dxa"/>
            </w:tcMar>
            <w:vAlign w:val="bottom"/>
          </w:tcPr>
          <w:p w:rsidR="00E85D42" w:rsidRDefault="00E85D42">
            <w:pPr>
              <w:jc w:val="both"/>
              <w:rPr>
                <w:sz w:val="6"/>
                <w:szCs w:val="6"/>
              </w:rPr>
            </w:pP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Заместитель начальника отдела государственной кадастровой оценки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Тусалина А.Я.</w:t>
            </w: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6"/>
                <w:szCs w:val="6"/>
              </w:rPr>
            </w:pPr>
          </w:p>
        </w:tc>
        <w:tc>
          <w:tcPr>
            <w:tcW w:w="425"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1559"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42"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517" w:type="dxa"/>
            <w:shd w:val="clear" w:color="auto" w:fill="auto"/>
            <w:tcMar>
              <w:top w:w="0" w:type="dxa"/>
              <w:left w:w="108" w:type="dxa"/>
              <w:bottom w:w="0" w:type="dxa"/>
              <w:right w:w="108" w:type="dxa"/>
            </w:tcMar>
            <w:vAlign w:val="bottom"/>
          </w:tcPr>
          <w:p w:rsidR="00E85D42" w:rsidRDefault="00E85D42">
            <w:pPr>
              <w:jc w:val="both"/>
              <w:rPr>
                <w:sz w:val="6"/>
                <w:szCs w:val="6"/>
              </w:rPr>
            </w:pP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Главный специалист отдела государственной</w:t>
            </w:r>
            <w:r>
              <w:rPr>
                <w:sz w:val="24"/>
              </w:rPr>
              <w:t xml:space="preserve"> кадастровой оценки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Елсукова Н.Н.</w:t>
            </w: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E85D42">
            <w:pPr>
              <w:jc w:val="both"/>
              <w:rPr>
                <w:sz w:val="6"/>
                <w:szCs w:val="6"/>
              </w:rPr>
            </w:pPr>
          </w:p>
        </w:tc>
        <w:tc>
          <w:tcPr>
            <w:tcW w:w="425"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1559"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42" w:type="dxa"/>
            <w:shd w:val="clear" w:color="auto" w:fill="auto"/>
            <w:tcMar>
              <w:top w:w="0" w:type="dxa"/>
              <w:left w:w="108" w:type="dxa"/>
              <w:bottom w:w="0" w:type="dxa"/>
              <w:right w:w="108" w:type="dxa"/>
            </w:tcMar>
            <w:vAlign w:val="bottom"/>
          </w:tcPr>
          <w:p w:rsidR="00E85D42" w:rsidRDefault="00E85D42">
            <w:pPr>
              <w:jc w:val="center"/>
              <w:rPr>
                <w:sz w:val="6"/>
                <w:szCs w:val="6"/>
              </w:rPr>
            </w:pPr>
          </w:p>
        </w:tc>
        <w:tc>
          <w:tcPr>
            <w:tcW w:w="2517" w:type="dxa"/>
            <w:shd w:val="clear" w:color="auto" w:fill="auto"/>
            <w:tcMar>
              <w:top w:w="0" w:type="dxa"/>
              <w:left w:w="108" w:type="dxa"/>
              <w:bottom w:w="0" w:type="dxa"/>
              <w:right w:w="108" w:type="dxa"/>
            </w:tcMar>
            <w:vAlign w:val="bottom"/>
          </w:tcPr>
          <w:p w:rsidR="00E85D42" w:rsidRDefault="00E85D42">
            <w:pPr>
              <w:jc w:val="both"/>
              <w:rPr>
                <w:sz w:val="6"/>
                <w:szCs w:val="6"/>
              </w:rPr>
            </w:pPr>
          </w:p>
        </w:tc>
      </w:tr>
      <w:tr w:rsidR="00E85D42">
        <w:tblPrEx>
          <w:tblCellMar>
            <w:top w:w="0" w:type="dxa"/>
            <w:bottom w:w="0" w:type="dxa"/>
          </w:tblCellMar>
        </w:tblPrEx>
        <w:tc>
          <w:tcPr>
            <w:tcW w:w="4928" w:type="dxa"/>
            <w:shd w:val="clear" w:color="auto" w:fill="auto"/>
            <w:tcMar>
              <w:top w:w="0" w:type="dxa"/>
              <w:left w:w="108" w:type="dxa"/>
              <w:bottom w:w="0" w:type="dxa"/>
              <w:right w:w="108" w:type="dxa"/>
            </w:tcMar>
          </w:tcPr>
          <w:p w:rsidR="00E85D42" w:rsidRDefault="008113B9">
            <w:pPr>
              <w:jc w:val="both"/>
              <w:rPr>
                <w:sz w:val="24"/>
              </w:rPr>
            </w:pPr>
            <w:r>
              <w:rPr>
                <w:sz w:val="24"/>
              </w:rPr>
              <w:t>Главный специалист отдела государственной кадастровой оценки ГБУ РБ «ГКО и ТИ»</w:t>
            </w:r>
          </w:p>
        </w:tc>
        <w:tc>
          <w:tcPr>
            <w:tcW w:w="425" w:type="dxa"/>
            <w:shd w:val="clear" w:color="auto" w:fill="auto"/>
            <w:tcMar>
              <w:top w:w="0" w:type="dxa"/>
              <w:left w:w="108" w:type="dxa"/>
              <w:bottom w:w="0" w:type="dxa"/>
              <w:right w:w="108" w:type="dxa"/>
            </w:tcMar>
            <w:vAlign w:val="bottom"/>
          </w:tcPr>
          <w:p w:rsidR="00E85D42" w:rsidRDefault="00E85D42">
            <w:pPr>
              <w:jc w:val="center"/>
              <w:rPr>
                <w:sz w:val="24"/>
              </w:rPr>
            </w:pPr>
          </w:p>
        </w:tc>
        <w:tc>
          <w:tcPr>
            <w:tcW w:w="1559" w:type="dxa"/>
            <w:shd w:val="clear" w:color="auto" w:fill="auto"/>
            <w:tcMar>
              <w:top w:w="0" w:type="dxa"/>
              <w:left w:w="108" w:type="dxa"/>
              <w:bottom w:w="0" w:type="dxa"/>
              <w:right w:w="108" w:type="dxa"/>
            </w:tcMar>
            <w:vAlign w:val="bottom"/>
          </w:tcPr>
          <w:p w:rsidR="00E85D42" w:rsidRDefault="00E85D42">
            <w:pPr>
              <w:jc w:val="center"/>
              <w:rPr>
                <w:sz w:val="24"/>
              </w:rPr>
            </w:pPr>
          </w:p>
        </w:tc>
        <w:tc>
          <w:tcPr>
            <w:tcW w:w="242" w:type="dxa"/>
            <w:shd w:val="clear" w:color="auto" w:fill="auto"/>
            <w:tcMar>
              <w:top w:w="0" w:type="dxa"/>
              <w:left w:w="108" w:type="dxa"/>
              <w:bottom w:w="0" w:type="dxa"/>
              <w:right w:w="108" w:type="dxa"/>
            </w:tcMar>
            <w:vAlign w:val="bottom"/>
          </w:tcPr>
          <w:p w:rsidR="00E85D42" w:rsidRDefault="00E85D42">
            <w:pPr>
              <w:jc w:val="center"/>
              <w:rPr>
                <w:sz w:val="24"/>
              </w:rPr>
            </w:pPr>
          </w:p>
        </w:tc>
        <w:tc>
          <w:tcPr>
            <w:tcW w:w="2517" w:type="dxa"/>
            <w:shd w:val="clear" w:color="auto" w:fill="auto"/>
            <w:tcMar>
              <w:top w:w="0" w:type="dxa"/>
              <w:left w:w="108" w:type="dxa"/>
              <w:bottom w:w="0" w:type="dxa"/>
              <w:right w:w="108" w:type="dxa"/>
            </w:tcMar>
            <w:vAlign w:val="bottom"/>
          </w:tcPr>
          <w:p w:rsidR="00E85D42" w:rsidRDefault="008113B9">
            <w:pPr>
              <w:rPr>
                <w:sz w:val="24"/>
              </w:rPr>
            </w:pPr>
            <w:r>
              <w:rPr>
                <w:sz w:val="24"/>
              </w:rPr>
              <w:t>Халимов А.Р.</w:t>
            </w:r>
          </w:p>
        </w:tc>
      </w:tr>
    </w:tbl>
    <w:p w:rsidR="00E85D42" w:rsidRDefault="00E85D42">
      <w:pPr>
        <w:ind w:firstLine="640"/>
        <w:jc w:val="both"/>
        <w:rPr>
          <w:color w:val="000000"/>
          <w:sz w:val="24"/>
        </w:rPr>
      </w:pPr>
    </w:p>
    <w:p w:rsidR="00E85D42" w:rsidRDefault="00E85D42">
      <w:pPr>
        <w:keepNext/>
        <w:spacing w:before="120" w:after="120"/>
        <w:ind w:left="426" w:hanging="426"/>
        <w:jc w:val="center"/>
        <w:outlineLvl w:val="1"/>
        <w:rPr>
          <w:color w:val="000000"/>
          <w:sz w:val="24"/>
        </w:rPr>
      </w:pPr>
    </w:p>
    <w:sectPr w:rsidR="00E85D42">
      <w:headerReference w:type="default" r:id="rId361"/>
      <w:footerReference w:type="default" r:id="rId362"/>
      <w:pgSz w:w="11906" w:h="16838"/>
      <w:pgMar w:top="1134" w:right="707" w:bottom="1134" w:left="1701" w:header="708" w:footer="708" w:gutter="0"/>
      <w:pgBorders w:offsetFrom="page">
        <w:top w:val="single" w:sz="18" w:space="24" w:color="000000"/>
        <w:left w:val="single" w:sz="18" w:space="24" w:color="000000"/>
        <w:bottom w:val="single" w:sz="18" w:space="24" w:color="000000"/>
        <w:right w:val="single" w:sz="18" w:space="24" w:color="000000"/>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3B9" w:rsidRDefault="008113B9">
      <w:r>
        <w:separator/>
      </w:r>
    </w:p>
  </w:endnote>
  <w:endnote w:type="continuationSeparator" w:id="0">
    <w:p w:rsidR="008113B9" w:rsidRDefault="00811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eeSetC">
    <w:charset w:val="00"/>
    <w:family w:val="decorative"/>
    <w:pitch w:val="variable"/>
  </w:font>
  <w:font w:name="Times New Roman CYR">
    <w:panose1 w:val="02020603050405020304"/>
    <w:charset w:val="00"/>
    <w:family w:val="roman"/>
    <w:pitch w:val="variable"/>
  </w:font>
  <w:font w:name="Arial Unicode MS">
    <w:panose1 w:val="020B0604020202020204"/>
    <w:charset w:val="00"/>
    <w:family w:val="swiss"/>
    <w:pitch w:val="variable"/>
  </w:font>
  <w:font w:name="GaramondC">
    <w:charset w:val="00"/>
    <w:family w:val="decorative"/>
    <w:pitch w:val="default"/>
  </w:font>
  <w:font w:name="Arial">
    <w:panose1 w:val="020B0604020202020204"/>
    <w:charset w:val="CC"/>
    <w:family w:val="swiss"/>
    <w:pitch w:val="variable"/>
    <w:sig w:usb0="E0002EFF" w:usb1="C000785B" w:usb2="00000009" w:usb3="00000000" w:csb0="000001FF" w:csb1="00000000"/>
  </w:font>
  <w:font w:name="TimesET">
    <w:charset w:val="00"/>
    <w:family w:val="auto"/>
    <w:pitch w:val="variable"/>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anta Light">
    <w:charset w:val="00"/>
    <w:family w:val="swiss"/>
    <w:pitch w:val="variable"/>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DejaVu Sans">
    <w:charset w:val="00"/>
    <w:family w:val="auto"/>
    <w:pitch w:val="variable"/>
  </w:font>
  <w:font w:name="SimSun, 宋体">
    <w:charset w:val="00"/>
    <w:family w:val="auto"/>
    <w:pitch w:val="variable"/>
  </w:font>
  <w:font w:name="Mangal">
    <w:panose1 w:val="00000400000000000000"/>
    <w:charset w:val="00"/>
    <w:family w:val="roman"/>
    <w:pitch w:val="variable"/>
  </w:font>
  <w:font w:name="Arial CYR">
    <w:panose1 w:val="020B0604020202020204"/>
    <w:charset w:val="00"/>
    <w:family w:val="swiss"/>
    <w:pitch w:val="variable"/>
  </w:font>
  <w:font w:name="TimesNewRomanPSMT">
    <w:charset w:val="00"/>
    <w:family w:val="auto"/>
    <w:pitch w:val="default"/>
  </w:font>
  <w:font w:name="Calibri, sans-serif">
    <w:charset w:val="00"/>
    <w:family w:val="auto"/>
    <w:pitch w:val="default"/>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3"/>
      <w:jc w:val="right"/>
    </w:pPr>
    <w:r>
      <w:fldChar w:fldCharType="begin"/>
    </w:r>
    <w:r>
      <w:instrText xml:space="preserve"> PAGE </w:instrText>
    </w:r>
    <w:r>
      <w:fldChar w:fldCharType="separate"/>
    </w:r>
    <w:r>
      <w:t>6</w:t>
    </w:r>
    <w:r>
      <w:fldChar w:fldCharType="end"/>
    </w:r>
  </w:p>
  <w:p w:rsidR="00984AC1" w:rsidRDefault="008113B9">
    <w:pPr>
      <w:jc w:val="center"/>
    </w:pPr>
    <w:r>
      <w:rPr>
        <w:b/>
        <w:bCs/>
        <w:color w:val="000000"/>
        <w:sz w:val="16"/>
        <w:szCs w:val="16"/>
      </w:rPr>
      <w:t>Отчет № 02-2019-1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3"/>
      <w:jc w:val="right"/>
    </w:pPr>
    <w:r>
      <w:fldChar w:fldCharType="begin"/>
    </w:r>
    <w:r>
      <w:instrText xml:space="preserve"> PAGE </w:instrText>
    </w:r>
    <w:r>
      <w:fldChar w:fldCharType="separate"/>
    </w:r>
    <w:r w:rsidR="00FD0CC9">
      <w:rPr>
        <w:noProof/>
      </w:rPr>
      <w:t>4</w:t>
    </w:r>
    <w:r>
      <w:fldChar w:fldCharType="end"/>
    </w:r>
  </w:p>
  <w:p w:rsidR="00984AC1" w:rsidRDefault="008113B9">
    <w:pPr>
      <w:jc w:val="center"/>
    </w:pPr>
    <w:r>
      <w:rPr>
        <w:b/>
        <w:bCs/>
        <w:color w:val="000000"/>
        <w:sz w:val="16"/>
        <w:szCs w:val="16"/>
      </w:rPr>
      <w:t>Отчет № 02-2019-1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jc w:val="center"/>
    </w:pPr>
    <w:r>
      <w:rPr>
        <w:b/>
        <w:bCs/>
        <w:color w:val="000000"/>
        <w:sz w:val="16"/>
        <w:szCs w:val="16"/>
      </w:rPr>
      <w:t>Отчет № 02-2019-1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3"/>
      <w:jc w:val="right"/>
    </w:pPr>
    <w:r>
      <w:fldChar w:fldCharType="begin"/>
    </w:r>
    <w:r>
      <w:instrText xml:space="preserve"> PAGE </w:instrText>
    </w:r>
    <w:r>
      <w:fldChar w:fldCharType="separate"/>
    </w:r>
    <w:r>
      <w:t>6</w:t>
    </w:r>
    <w:r>
      <w:fldChar w:fldCharType="end"/>
    </w:r>
  </w:p>
  <w:p w:rsidR="00984AC1" w:rsidRDefault="008113B9">
    <w:pPr>
      <w:jc w:val="center"/>
    </w:pPr>
    <w:r>
      <w:rPr>
        <w:b/>
        <w:bCs/>
        <w:color w:val="000000"/>
        <w:sz w:val="16"/>
        <w:szCs w:val="16"/>
      </w:rPr>
      <w:t>Отчет № 02-2019-1</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jc w:val="center"/>
    </w:pPr>
    <w:r>
      <w:rPr>
        <w:b/>
        <w:bCs/>
        <w:color w:val="000000"/>
        <w:sz w:val="16"/>
        <w:szCs w:val="16"/>
      </w:rPr>
      <w:t>Отчет № 02-2019-1</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3"/>
      <w:jc w:val="right"/>
    </w:pPr>
    <w:r>
      <w:fldChar w:fldCharType="begin"/>
    </w:r>
    <w:r>
      <w:instrText xml:space="preserve"> PAGE </w:instrText>
    </w:r>
    <w:r>
      <w:fldChar w:fldCharType="separate"/>
    </w:r>
    <w:r>
      <w:t>6</w:t>
    </w:r>
    <w:r>
      <w:fldChar w:fldCharType="end"/>
    </w:r>
  </w:p>
  <w:p w:rsidR="00984AC1" w:rsidRDefault="008113B9">
    <w:pPr>
      <w:jc w:val="center"/>
    </w:pPr>
    <w:r>
      <w:rPr>
        <w:b/>
        <w:bCs/>
        <w:color w:val="000000"/>
        <w:sz w:val="16"/>
        <w:szCs w:val="16"/>
      </w:rPr>
      <w:t>О</w:t>
    </w:r>
    <w:r>
      <w:rPr>
        <w:b/>
        <w:bCs/>
        <w:color w:val="000000"/>
        <w:sz w:val="16"/>
        <w:szCs w:val="16"/>
      </w:rPr>
      <w:t>тчет № 02-2019-1</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jc w:val="center"/>
    </w:pPr>
    <w:r>
      <w:rPr>
        <w:b/>
        <w:bCs/>
        <w:color w:val="000000"/>
        <w:sz w:val="16"/>
        <w:szCs w:val="16"/>
      </w:rPr>
      <w:t>Отчет № 02-2019-1</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3"/>
      <w:jc w:val="right"/>
    </w:pPr>
    <w:r>
      <w:fldChar w:fldCharType="begin"/>
    </w:r>
    <w:r>
      <w:instrText xml:space="preserve"> PAGE </w:instrText>
    </w:r>
    <w:r>
      <w:fldChar w:fldCharType="separate"/>
    </w:r>
    <w:r>
      <w:t>252</w:t>
    </w:r>
    <w:r>
      <w:fldChar w:fldCharType="end"/>
    </w:r>
  </w:p>
  <w:p w:rsidR="00984AC1" w:rsidRDefault="008113B9">
    <w:pPr>
      <w:pStyle w:val="aff3"/>
      <w:jc w:val="center"/>
      <w:rPr>
        <w:b/>
        <w:bCs/>
        <w:color w:val="000000"/>
        <w:sz w:val="16"/>
        <w:szCs w:val="16"/>
      </w:rPr>
    </w:pPr>
    <w:r>
      <w:rPr>
        <w:b/>
        <w:bCs/>
        <w:color w:val="000000"/>
        <w:sz w:val="16"/>
        <w:szCs w:val="16"/>
      </w:rPr>
      <w:t>Отчет № 02-2019-1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3B9" w:rsidRDefault="008113B9">
      <w:r>
        <w:rPr>
          <w:color w:val="000000"/>
        </w:rPr>
        <w:separator/>
      </w:r>
    </w:p>
  </w:footnote>
  <w:footnote w:type="continuationSeparator" w:id="0">
    <w:p w:rsidR="008113B9" w:rsidRDefault="008113B9">
      <w:r>
        <w:continuationSeparator/>
      </w:r>
    </w:p>
  </w:footnote>
  <w:footnote w:id="1">
    <w:p w:rsidR="00E85D42" w:rsidRDefault="008113B9">
      <w:pPr>
        <w:pStyle w:val="af2"/>
      </w:pPr>
      <w:r>
        <w:rPr>
          <w:rStyle w:val="af4"/>
        </w:rPr>
        <w:footnoteRef/>
      </w:r>
      <w:r>
        <w:t>Министерство экономического развития Российской Федерации, Мониторинг Картина экономики. Январь 2019 года. Электронный ресурс]: офиц. сайт. Москва, 2</w:t>
      </w:r>
      <w:r>
        <w:t xml:space="preserve">018. </w:t>
      </w:r>
      <w:r>
        <w:rPr>
          <w:lang w:val="en-US"/>
        </w:rPr>
        <w:t>URL</w:t>
      </w:r>
      <w:r>
        <w:t xml:space="preserve">: </w:t>
      </w:r>
      <w:r>
        <w:rPr>
          <w:lang w:val="en-US"/>
        </w:rPr>
        <w:t>http</w:t>
      </w:r>
      <w:r>
        <w:t>://</w:t>
      </w:r>
      <w:r>
        <w:rPr>
          <w:lang w:val="en-US"/>
        </w:rPr>
        <w:t>economy</w:t>
      </w:r>
      <w:r>
        <w:t>.</w:t>
      </w:r>
      <w:r>
        <w:rPr>
          <w:lang w:val="en-US"/>
        </w:rPr>
        <w:t>gov</w:t>
      </w:r>
      <w:r>
        <w:t>.</w:t>
      </w:r>
      <w:r>
        <w:rPr>
          <w:lang w:val="en-US"/>
        </w:rPr>
        <w:t>ru</w:t>
      </w:r>
      <w:r>
        <w:t>/</w:t>
      </w:r>
      <w:r>
        <w:rPr>
          <w:lang w:val="en-US"/>
        </w:rPr>
        <w:t>minec</w:t>
      </w:r>
      <w:r>
        <w:t>/</w:t>
      </w:r>
      <w:r>
        <w:rPr>
          <w:lang w:val="en-US"/>
        </w:rPr>
        <w:t>activity</w:t>
      </w:r>
      <w:r>
        <w:t>/</w:t>
      </w:r>
      <w:r>
        <w:rPr>
          <w:lang w:val="en-US"/>
        </w:rPr>
        <w:t>sections</w:t>
      </w:r>
      <w:r>
        <w:t>/</w:t>
      </w:r>
      <w:r>
        <w:rPr>
          <w:lang w:val="en-US"/>
        </w:rPr>
        <w:t>macro</w:t>
      </w:r>
      <w:r>
        <w:t>.</w:t>
      </w:r>
    </w:p>
  </w:footnote>
  <w:footnote w:id="2">
    <w:p w:rsidR="00E85D42" w:rsidRDefault="008113B9">
      <w:pPr>
        <w:pStyle w:val="af2"/>
      </w:pPr>
      <w:r>
        <w:rPr>
          <w:rStyle w:val="af4"/>
        </w:rPr>
        <w:footnoteRef/>
      </w:r>
      <w:r>
        <w:t xml:space="preserve"> Федеральная служба государственной статистики, Официальная статистика \ Публикации \ </w:t>
      </w:r>
      <w:r>
        <w:t>Каталог публикаций. Доклад "Социально-экономическое положение России"  Февраль 2019г. .[Электронный ресурс]: офиц. сайт. Москва</w:t>
      </w:r>
      <w:r>
        <w:rPr>
          <w:lang w:val="en-US"/>
        </w:rPr>
        <w:t>, 201. URL: http://www.gks.ru/wps/wcm/connect/rosstat_main/rosstat/ru/statistics/ publications/catalog/doc_1140086922125</w:t>
      </w:r>
    </w:p>
  </w:footnote>
  <w:footnote w:id="3">
    <w:p w:rsidR="00E85D42" w:rsidRDefault="008113B9">
      <w:pPr>
        <w:pStyle w:val="af2"/>
      </w:pPr>
      <w:r>
        <w:rPr>
          <w:rStyle w:val="af4"/>
        </w:rPr>
        <w:footnoteRef/>
      </w:r>
      <w:r>
        <w:t xml:space="preserve"> Единая межведомственная информационно-статистическая система. Электронный ресурс] : офиц. сайт. Москва, 2018. URL: https://fedstat.ru/indicator/31074</w:t>
      </w:r>
    </w:p>
  </w:footnote>
  <w:footnote w:id="4">
    <w:p w:rsidR="00E85D42" w:rsidRDefault="008113B9">
      <w:pPr>
        <w:pStyle w:val="af2"/>
      </w:pPr>
      <w:r>
        <w:rPr>
          <w:rStyle w:val="af4"/>
        </w:rPr>
        <w:footnoteRef/>
      </w:r>
      <w:r>
        <w:t xml:space="preserve"> Централизованный портал органов власти Республики Башкортостан.</w:t>
      </w:r>
      <w:r>
        <w:rPr>
          <w:rFonts w:ascii="Arial" w:hAnsi="Arial" w:cs="Arial"/>
          <w:color w:val="333333"/>
          <w:sz w:val="28"/>
          <w:szCs w:val="24"/>
          <w:shd w:val="clear" w:color="auto" w:fill="FFFFFF"/>
        </w:rPr>
        <w:t xml:space="preserve"> </w:t>
      </w:r>
      <w:r>
        <w:t> [Электронный ресурс] : офиц. сайт. Уфа, 2019. URL: https://www.bashkortostan.ru</w:t>
      </w:r>
    </w:p>
  </w:footnote>
  <w:footnote w:id="5">
    <w:p w:rsidR="00E85D42" w:rsidRDefault="008113B9">
      <w:pPr>
        <w:pStyle w:val="af2"/>
      </w:pPr>
      <w:r>
        <w:rPr>
          <w:rStyle w:val="af4"/>
        </w:rPr>
        <w:footnoteRef/>
      </w:r>
      <w:r>
        <w:t xml:space="preserve"> Министерство природных ресурсов и экологии Российской Федерации.  [Электронный ресурс] : офиц. сайт. Москва, 2019. URL: http://mnr.gov.ru</w:t>
      </w:r>
      <w:r>
        <w:t>/activity/regions/respublika_bashkortostan/?sphrase_id=4591</w:t>
      </w:r>
    </w:p>
    <w:p w:rsidR="00E85D42" w:rsidRDefault="00E85D42">
      <w:pPr>
        <w:pStyle w:val="af2"/>
      </w:pPr>
    </w:p>
  </w:footnote>
  <w:footnote w:id="6">
    <w:p w:rsidR="00E85D42" w:rsidRDefault="008113B9">
      <w:pPr>
        <w:pStyle w:val="af2"/>
      </w:pPr>
      <w:r>
        <w:rPr>
          <w:rStyle w:val="af4"/>
        </w:rPr>
        <w:footnoteRef/>
      </w:r>
      <w:r>
        <w:t xml:space="preserve"> Административно-территориальное устройство Республики Башкортостан: Справочник. [Электронный р</w:t>
      </w:r>
      <w:r>
        <w:t>есурс]: Уфа, Китап, 2017. — 472с. URL:.https://www.bashkortostan.ru/thesaurus/files/1.0122.17_ATU_Itog.pdf</w:t>
      </w:r>
    </w:p>
  </w:footnote>
  <w:footnote w:id="7">
    <w:p w:rsidR="00E85D42" w:rsidRDefault="008113B9">
      <w:pPr>
        <w:pStyle w:val="af2"/>
      </w:pPr>
      <w:r>
        <w:rPr>
          <w:rStyle w:val="af4"/>
        </w:rPr>
        <w:footnoteRef/>
      </w:r>
      <w:r>
        <w:t xml:space="preserve"> Башкортостанстат. Оценка численности постоянного населения Республики Башкортостан на 1 января 2019 г. по муниципальным образованиям [Электронный ресурс] : офиц. сайт. Уфа, 2019. URL: http://bashstat.gks.ru/wps/wcm/connect/rosstat_ts/bash</w:t>
      </w:r>
      <w:r>
        <w:t>stat/ru/statistics/population/</w:t>
      </w:r>
    </w:p>
  </w:footnote>
  <w:footnote w:id="8">
    <w:p w:rsidR="00E85D42" w:rsidRDefault="008113B9">
      <w:pPr>
        <w:pStyle w:val="af2"/>
      </w:pPr>
      <w:r>
        <w:rPr>
          <w:rStyle w:val="af4"/>
        </w:rPr>
        <w:footnoteRef/>
      </w:r>
      <w:r>
        <w:t xml:space="preserve"> </w:t>
      </w:r>
      <w:r>
        <w:rPr>
          <w:kern w:val="3"/>
          <w:sz w:val="18"/>
          <w:szCs w:val="18"/>
        </w:rPr>
        <w:t>Лесной План Республ</w:t>
      </w:r>
      <w:r>
        <w:rPr>
          <w:kern w:val="3"/>
          <w:sz w:val="18"/>
          <w:szCs w:val="18"/>
        </w:rPr>
        <w:t>ики Башкортостан на 2019 – 2028 годы (</w:t>
      </w:r>
      <w:hyperlink r:id="rId1" w:history="1">
        <w:r>
          <w:rPr>
            <w:kern w:val="3"/>
            <w:sz w:val="18"/>
            <w:szCs w:val="18"/>
          </w:rPr>
          <w:t>https://forest.bashkortostan.ru/documents/active/175649/</w:t>
        </w:r>
      </w:hyperlink>
      <w:r>
        <w:rPr>
          <w:kern w:val="3"/>
          <w:sz w:val="18"/>
          <w:szCs w:val="18"/>
        </w:rPr>
        <w:t>)</w:t>
      </w:r>
    </w:p>
  </w:footnote>
  <w:footnote w:id="9">
    <w:p w:rsidR="00E85D42" w:rsidRDefault="008113B9">
      <w:pPr>
        <w:pStyle w:val="af2"/>
      </w:pPr>
      <w:r>
        <w:rPr>
          <w:rStyle w:val="af4"/>
        </w:rPr>
        <w:footnoteRef/>
      </w:r>
      <w:r>
        <w:t xml:space="preserve"> Минис</w:t>
      </w:r>
      <w:r>
        <w:t>терство экономического развития Республики Башкортостан.  [Электронный ресурс] : офиц. сайт. Уфа, 2019. URL: https://economy.bashkortostan.ru/dejatelnost/makrojekonomika/regulyarnye-monitoringi-ser-rb/ /osnovnye-pokazateli-ser-rb/</w:t>
      </w:r>
    </w:p>
  </w:footnote>
  <w:footnote w:id="10">
    <w:p w:rsidR="00E85D42" w:rsidRDefault="008113B9">
      <w:pPr>
        <w:pStyle w:val="af2"/>
      </w:pPr>
      <w:r>
        <w:rPr>
          <w:rStyle w:val="af4"/>
        </w:rPr>
        <w:footnoteRef/>
      </w:r>
      <w:r>
        <w:t xml:space="preserve"> Федеральная служба государственной регистрации, кадастра и картографии.</w:t>
      </w:r>
      <w:r>
        <w:rPr>
          <w:rFonts w:ascii="Arial" w:hAnsi="Arial" w:cs="Arial"/>
          <w:sz w:val="28"/>
          <w:szCs w:val="24"/>
          <w:shd w:val="clear" w:color="auto" w:fill="FFFFFF"/>
        </w:rPr>
        <w:t xml:space="preserve"> </w:t>
      </w:r>
      <w:r>
        <w:rPr>
          <w:shd w:val="clear" w:color="auto" w:fill="FFFFFF"/>
        </w:rPr>
        <w:t xml:space="preserve">Государственный (национальный) доклад о состоянии и </w:t>
      </w:r>
      <w:r>
        <w:rPr>
          <w:shd w:val="clear" w:color="auto" w:fill="FFFFFF"/>
        </w:rPr>
        <w:t>использовании земель в Республике Башкортостан в 2017 году</w:t>
      </w:r>
      <w:r>
        <w:t xml:space="preserve"> [Электронный ресурс] : офиц. сайт. Москва, 2018. </w:t>
      </w:r>
      <w:r>
        <w:rPr>
          <w:lang w:val="en-US"/>
        </w:rPr>
        <w:t>URL</w:t>
      </w:r>
      <w:r>
        <w:t xml:space="preserve">: </w:t>
      </w:r>
      <w:r>
        <w:rPr>
          <w:lang w:val="en-US"/>
        </w:rPr>
        <w:t>https</w:t>
      </w:r>
      <w:r>
        <w:t xml:space="preserve">:// </w:t>
      </w:r>
      <w:hyperlink r:id="rId2" w:history="1">
        <w:r>
          <w:rPr>
            <w:rStyle w:val="a5"/>
            <w:lang w:val="en-US"/>
          </w:rPr>
          <w:t>https</w:t>
        </w:r>
        <w:r>
          <w:rPr>
            <w:rStyle w:val="a5"/>
          </w:rPr>
          <w:t>://</w:t>
        </w:r>
        <w:r>
          <w:rPr>
            <w:rStyle w:val="a5"/>
            <w:lang w:val="en-US"/>
          </w:rPr>
          <w:t>rosreestr</w:t>
        </w:r>
        <w:r>
          <w:rPr>
            <w:rStyle w:val="a5"/>
          </w:rPr>
          <w:t>.</w:t>
        </w:r>
        <w:r>
          <w:rPr>
            <w:rStyle w:val="a5"/>
            <w:lang w:val="en-US"/>
          </w:rPr>
          <w:t>ru</w:t>
        </w:r>
        <w:r>
          <w:rPr>
            <w:rStyle w:val="a5"/>
          </w:rPr>
          <w:t>/</w:t>
        </w:r>
        <w:r>
          <w:rPr>
            <w:rStyle w:val="a5"/>
            <w:lang w:val="en-US"/>
          </w:rPr>
          <w:t>upload</w:t>
        </w:r>
        <w:r>
          <w:rPr>
            <w:rStyle w:val="a5"/>
          </w:rPr>
          <w:t>/</w:t>
        </w:r>
        <w:r>
          <w:rPr>
            <w:rStyle w:val="a5"/>
            <w:lang w:val="en-US"/>
          </w:rPr>
          <w:t>to</w:t>
        </w:r>
        <w:r>
          <w:rPr>
            <w:rStyle w:val="a5"/>
          </w:rPr>
          <w:t>/</w:t>
        </w:r>
        <w:r>
          <w:rPr>
            <w:rStyle w:val="a5"/>
            <w:lang w:val="en-US"/>
          </w:rPr>
          <w:t>re</w:t>
        </w:r>
        <w:r>
          <w:rPr>
            <w:rStyle w:val="a5"/>
            <w:lang w:val="en-US"/>
          </w:rPr>
          <w:t>spublika</w:t>
        </w:r>
        <w:r>
          <w:rPr>
            <w:rStyle w:val="a5"/>
          </w:rPr>
          <w:t>-</w:t>
        </w:r>
        <w:r>
          <w:rPr>
            <w:rStyle w:val="a5"/>
            <w:lang w:val="en-US"/>
          </w:rPr>
          <w:t>bashkortostan</w:t>
        </w:r>
        <w:r>
          <w:rPr>
            <w:rStyle w:val="a5"/>
          </w:rPr>
          <w:t>/</w:t>
        </w:r>
        <w:r>
          <w:rPr>
            <w:rStyle w:val="a5"/>
            <w:lang w:val="en-US"/>
          </w:rPr>
          <w:t>GZK</w:t>
        </w:r>
        <w:r>
          <w:rPr>
            <w:rStyle w:val="a5"/>
          </w:rPr>
          <w:t>/!%</w:t>
        </w:r>
        <w:r>
          <w:rPr>
            <w:rStyle w:val="a5"/>
            <w:lang w:val="en-US"/>
          </w:rPr>
          <w:t>D</w:t>
        </w:r>
        <w:r>
          <w:rPr>
            <w:rStyle w:val="a5"/>
          </w:rPr>
          <w:t>0%</w:t>
        </w:r>
        <w:r>
          <w:rPr>
            <w:rStyle w:val="a5"/>
            <w:lang w:val="en-US"/>
          </w:rPr>
          <w:t>BD</w:t>
        </w:r>
        <w:r>
          <w:rPr>
            <w:rStyle w:val="a5"/>
          </w:rPr>
          <w:t>%</w:t>
        </w:r>
        <w:r>
          <w:rPr>
            <w:rStyle w:val="a5"/>
            <w:lang w:val="en-US"/>
          </w:rPr>
          <w:t>D</w:t>
        </w:r>
        <w:r>
          <w:rPr>
            <w:rStyle w:val="a5"/>
          </w:rPr>
          <w:t>0%</w:t>
        </w:r>
        <w:r>
          <w:rPr>
            <w:rStyle w:val="a5"/>
            <w:lang w:val="en-US"/>
          </w:rPr>
          <w:t>B</w:t>
        </w:r>
        <w:r>
          <w:rPr>
            <w:rStyle w:val="a5"/>
          </w:rPr>
          <w:t>0%</w:t>
        </w:r>
        <w:r>
          <w:rPr>
            <w:rStyle w:val="a5"/>
            <w:lang w:val="en-US"/>
          </w:rPr>
          <w:t>D</w:t>
        </w:r>
        <w:r>
          <w:rPr>
            <w:rStyle w:val="a5"/>
          </w:rPr>
          <w:t>1%86%20%</w:t>
        </w:r>
        <w:r>
          <w:rPr>
            <w:rStyle w:val="a5"/>
            <w:lang w:val="en-US"/>
          </w:rPr>
          <w:t>D</w:t>
        </w:r>
        <w:r>
          <w:rPr>
            <w:rStyle w:val="a5"/>
          </w:rPr>
          <w:t>0%</w:t>
        </w:r>
        <w:r>
          <w:rPr>
            <w:rStyle w:val="a5"/>
            <w:lang w:val="en-US"/>
          </w:rPr>
          <w:t>B</w:t>
        </w:r>
        <w:r>
          <w:rPr>
            <w:rStyle w:val="a5"/>
          </w:rPr>
          <w:t>4%</w:t>
        </w:r>
        <w:r>
          <w:rPr>
            <w:rStyle w:val="a5"/>
            <w:lang w:val="en-US"/>
          </w:rPr>
          <w:t>D</w:t>
        </w:r>
        <w:r>
          <w:rPr>
            <w:rStyle w:val="a5"/>
          </w:rPr>
          <w:t>0%</w:t>
        </w:r>
        <w:r>
          <w:rPr>
            <w:rStyle w:val="a5"/>
            <w:lang w:val="en-US"/>
          </w:rPr>
          <w:t>BE</w:t>
        </w:r>
        <w:r>
          <w:rPr>
            <w:rStyle w:val="a5"/>
          </w:rPr>
          <w:t>%</w:t>
        </w:r>
        <w:r>
          <w:rPr>
            <w:rStyle w:val="a5"/>
            <w:lang w:val="en-US"/>
          </w:rPr>
          <w:t>D</w:t>
        </w:r>
        <w:r>
          <w:rPr>
            <w:rStyle w:val="a5"/>
          </w:rPr>
          <w:t>0%</w:t>
        </w:r>
        <w:r>
          <w:rPr>
            <w:rStyle w:val="a5"/>
            <w:lang w:val="en-US"/>
          </w:rPr>
          <w:t>BA</w:t>
        </w:r>
        <w:r>
          <w:rPr>
            <w:rStyle w:val="a5"/>
          </w:rPr>
          <w:t>%</w:t>
        </w:r>
        <w:r>
          <w:rPr>
            <w:rStyle w:val="a5"/>
            <w:lang w:val="en-US"/>
          </w:rPr>
          <w:t>D</w:t>
        </w:r>
        <w:r>
          <w:rPr>
            <w:rStyle w:val="a5"/>
          </w:rPr>
          <w:t>0%</w:t>
        </w:r>
        <w:r>
          <w:rPr>
            <w:rStyle w:val="a5"/>
            <w:lang w:val="en-US"/>
          </w:rPr>
          <w:t>BB</w:t>
        </w:r>
        <w:r>
          <w:rPr>
            <w:rStyle w:val="a5"/>
          </w:rPr>
          <w:t>%</w:t>
        </w:r>
        <w:r>
          <w:rPr>
            <w:rStyle w:val="a5"/>
            <w:lang w:val="en-US"/>
          </w:rPr>
          <w:t>D</w:t>
        </w:r>
        <w:r>
          <w:rPr>
            <w:rStyle w:val="a5"/>
          </w:rPr>
          <w:t>0%</w:t>
        </w:r>
        <w:r>
          <w:rPr>
            <w:rStyle w:val="a5"/>
            <w:lang w:val="en-US"/>
          </w:rPr>
          <w:t>B</w:t>
        </w:r>
        <w:r>
          <w:rPr>
            <w:rStyle w:val="a5"/>
          </w:rPr>
          <w:t>0%</w:t>
        </w:r>
        <w:r>
          <w:rPr>
            <w:rStyle w:val="a5"/>
            <w:lang w:val="en-US"/>
          </w:rPr>
          <w:t>D</w:t>
        </w:r>
        <w:r>
          <w:rPr>
            <w:rStyle w:val="a5"/>
          </w:rPr>
          <w:t>0%</w:t>
        </w:r>
        <w:r>
          <w:rPr>
            <w:rStyle w:val="a5"/>
            <w:lang w:val="en-US"/>
          </w:rPr>
          <w:t>B</w:t>
        </w:r>
        <w:r>
          <w:rPr>
            <w:rStyle w:val="a5"/>
          </w:rPr>
          <w:t>4%20%</w:t>
        </w:r>
        <w:r>
          <w:rPr>
            <w:rStyle w:val="a5"/>
            <w:lang w:val="en-US"/>
          </w:rPr>
          <w:t>D</w:t>
        </w:r>
        <w:r>
          <w:rPr>
            <w:rStyle w:val="a5"/>
          </w:rPr>
          <w:t>0%</w:t>
        </w:r>
        <w:r>
          <w:rPr>
            <w:rStyle w:val="a5"/>
            <w:lang w:val="en-US"/>
          </w:rPr>
          <w:t>B</w:t>
        </w:r>
        <w:r>
          <w:rPr>
            <w:rStyle w:val="a5"/>
          </w:rPr>
          <w:t>7%</w:t>
        </w:r>
        <w:r>
          <w:rPr>
            <w:rStyle w:val="a5"/>
            <w:lang w:val="en-US"/>
          </w:rPr>
          <w:t>D</w:t>
        </w:r>
        <w:r>
          <w:rPr>
            <w:rStyle w:val="a5"/>
          </w:rPr>
          <w:t>0%</w:t>
        </w:r>
        <w:r>
          <w:rPr>
            <w:rStyle w:val="a5"/>
            <w:lang w:val="en-US"/>
          </w:rPr>
          <w:t>B</w:t>
        </w:r>
        <w:r>
          <w:rPr>
            <w:rStyle w:val="a5"/>
          </w:rPr>
          <w:t>0%202018.</w:t>
        </w:r>
        <w:r>
          <w:rPr>
            <w:rStyle w:val="a5"/>
            <w:lang w:val="en-US"/>
          </w:rPr>
          <w:t>pdf</w:t>
        </w:r>
      </w:hyperlink>
    </w:p>
  </w:footnote>
  <w:footnote w:id="11">
    <w:p w:rsidR="00E85D42" w:rsidRDefault="008113B9">
      <w:pPr>
        <w:pStyle w:val="af2"/>
      </w:pPr>
      <w:r>
        <w:rPr>
          <w:rStyle w:val="af4"/>
        </w:rPr>
        <w:footnoteRef/>
      </w:r>
      <w:r>
        <w:t xml:space="preserve"> Единый реестр застройщи</w:t>
      </w:r>
      <w:r>
        <w:t xml:space="preserve">ков. [Электронный ресурс] : оиц. сайт. Москва, 2019. </w:t>
      </w:r>
      <w:r>
        <w:rPr>
          <w:lang w:val="en-US"/>
        </w:rPr>
        <w:t>URL</w:t>
      </w:r>
      <w:r>
        <w:t xml:space="preserve">:  </w:t>
      </w:r>
      <w:r>
        <w:rPr>
          <w:lang w:val="en-US"/>
        </w:rPr>
        <w:t>https</w:t>
      </w:r>
      <w:r>
        <w:t>://</w:t>
      </w:r>
      <w:r>
        <w:rPr>
          <w:lang w:val="en-US"/>
        </w:rPr>
        <w:t>erzrf</w:t>
      </w:r>
      <w:r>
        <w:t>.</w:t>
      </w:r>
      <w:r>
        <w:rPr>
          <w:lang w:val="en-US"/>
        </w:rPr>
        <w:t>ru</w:t>
      </w:r>
      <w:r>
        <w:t>/</w:t>
      </w:r>
      <w:r>
        <w:rPr>
          <w:lang w:val="en-US"/>
        </w:rPr>
        <w:t>top</w:t>
      </w:r>
      <w:r>
        <w:t>-</w:t>
      </w:r>
      <w:r>
        <w:rPr>
          <w:lang w:val="en-US"/>
        </w:rPr>
        <w:t>zastroyshchikov</w:t>
      </w:r>
      <w:r>
        <w:t>/</w:t>
      </w:r>
      <w:r>
        <w:rPr>
          <w:lang w:val="en-US"/>
        </w:rPr>
        <w:t>respublika</w:t>
      </w:r>
      <w:r>
        <w:t>-</w:t>
      </w:r>
      <w:r>
        <w:rPr>
          <w:lang w:val="en-US"/>
        </w:rPr>
        <w:t>bashkortostan</w:t>
      </w:r>
      <w:r>
        <w:t>?</w:t>
      </w:r>
      <w:r>
        <w:rPr>
          <w:lang w:val="en-US"/>
        </w:rPr>
        <w:t>topType</w:t>
      </w:r>
      <w:r>
        <w:t>=1&amp;</w:t>
      </w:r>
      <w:r>
        <w:rPr>
          <w:lang w:val="en-US"/>
        </w:rPr>
        <w:t>date</w:t>
      </w:r>
      <w:r>
        <w:t>=2018&amp;</w:t>
      </w:r>
      <w:r>
        <w:rPr>
          <w:lang w:val="en-US"/>
        </w:rPr>
        <w:t>page</w:t>
      </w:r>
      <w:r>
        <w:t>=1</w:t>
      </w:r>
    </w:p>
  </w:footnote>
  <w:footnote w:id="12">
    <w:p w:rsidR="00E85D42" w:rsidRDefault="008113B9">
      <w:pPr>
        <w:pStyle w:val="af2"/>
      </w:pPr>
      <w:r>
        <w:rPr>
          <w:rStyle w:val="af4"/>
        </w:rPr>
        <w:footnoteRef/>
      </w:r>
      <w:r>
        <w:t>Министерство земельных и имущественных отношений Республики Башкортостан  [Электронный ресурс]</w:t>
      </w:r>
      <w:r>
        <w:t xml:space="preserve"> : офиц. сайт. Уфа, 2018. </w:t>
      </w:r>
      <w:r>
        <w:rPr>
          <w:lang w:val="en-US"/>
        </w:rPr>
        <w:t>URL</w:t>
      </w:r>
      <w:r>
        <w:t xml:space="preserve">: </w:t>
      </w:r>
      <w:r>
        <w:rPr>
          <w:lang w:val="en-US"/>
        </w:rPr>
        <w:t>http</w:t>
      </w:r>
      <w:r>
        <w:t xml:space="preserve">:// </w:t>
      </w:r>
      <w:r>
        <w:rPr>
          <w:lang w:val="en-US"/>
        </w:rPr>
        <w:t>https</w:t>
      </w:r>
      <w:r>
        <w:t>://</w:t>
      </w:r>
      <w:r>
        <w:rPr>
          <w:lang w:val="en-US"/>
        </w:rPr>
        <w:t>mzio</w:t>
      </w:r>
      <w:r>
        <w:t>.</w:t>
      </w:r>
      <w:r>
        <w:rPr>
          <w:lang w:val="en-US"/>
        </w:rPr>
        <w:t>bashkortostan</w:t>
      </w:r>
      <w:r>
        <w:t>.</w:t>
      </w:r>
      <w:r>
        <w:rPr>
          <w:lang w:val="en-US"/>
        </w:rPr>
        <w:t>ru</w:t>
      </w:r>
      <w:r>
        <w:t>/</w:t>
      </w:r>
      <w:r>
        <w:rPr>
          <w:lang w:val="en-US"/>
        </w:rPr>
        <w:t>upload</w:t>
      </w:r>
      <w:r>
        <w:t>/</w:t>
      </w:r>
      <w:r>
        <w:rPr>
          <w:lang w:val="en-US"/>
        </w:rPr>
        <w:t>uf</w:t>
      </w:r>
      <w:r>
        <w:t>/5</w:t>
      </w:r>
      <w:r>
        <w:rPr>
          <w:lang w:val="en-US"/>
        </w:rPr>
        <w:t>be</w:t>
      </w:r>
      <w:r>
        <w:t>/</w:t>
      </w:r>
      <w:r>
        <w:rPr>
          <w:lang w:val="en-US"/>
        </w:rPr>
        <w:t>Dlya</w:t>
      </w:r>
      <w:r>
        <w:t>_</w:t>
      </w:r>
      <w:r>
        <w:rPr>
          <w:lang w:val="en-US"/>
        </w:rPr>
        <w:t>sayta</w:t>
      </w:r>
      <w:r>
        <w:t>-_2_.</w:t>
      </w:r>
      <w:r>
        <w:rPr>
          <w:lang w:val="en-US"/>
        </w:rPr>
        <w:t>pdf</w:t>
      </w:r>
    </w:p>
  </w:footnote>
  <w:footnote w:id="13">
    <w:p w:rsidR="00E85D42" w:rsidRDefault="008113B9">
      <w:pPr>
        <w:pStyle w:val="af2"/>
      </w:pPr>
      <w:r>
        <w:rPr>
          <w:rStyle w:val="af4"/>
        </w:rPr>
        <w:footnoteRef/>
      </w:r>
      <w:r>
        <w:t>Территориальный орган Федеральной службы государственной статистики по Республике Баш</w:t>
      </w:r>
      <w:r>
        <w:t xml:space="preserve">кортостан. Электронный ресурс ] : офиц. сайт. Уфа, 2019. </w:t>
      </w:r>
      <w:r>
        <w:rPr>
          <w:lang w:val="en-US"/>
        </w:rPr>
        <w:t>URL</w:t>
      </w:r>
      <w:r>
        <w:t xml:space="preserve">: </w:t>
      </w:r>
      <w:r>
        <w:rPr>
          <w:lang w:val="en-US"/>
        </w:rPr>
        <w:t>http</w:t>
      </w:r>
      <w:r>
        <w:t>://</w:t>
      </w:r>
      <w:r>
        <w:rPr>
          <w:lang w:val="en-US"/>
        </w:rPr>
        <w:t>bashstat</w:t>
      </w:r>
      <w:r>
        <w:t>.</w:t>
      </w:r>
      <w:r>
        <w:rPr>
          <w:lang w:val="en-US"/>
        </w:rPr>
        <w:t>gks</w:t>
      </w:r>
      <w:r>
        <w:t>.</w:t>
      </w:r>
      <w:r>
        <w:rPr>
          <w:lang w:val="en-US"/>
        </w:rPr>
        <w:t>ru</w:t>
      </w:r>
      <w:r>
        <w:t>/</w:t>
      </w:r>
      <w:r>
        <w:rPr>
          <w:lang w:val="en-US"/>
        </w:rPr>
        <w:t>wps</w:t>
      </w:r>
      <w:r>
        <w:t>/</w:t>
      </w:r>
      <w:r>
        <w:rPr>
          <w:lang w:val="en-US"/>
        </w:rPr>
        <w:t>wcm</w:t>
      </w:r>
      <w:r>
        <w:t>/</w:t>
      </w:r>
      <w:r>
        <w:rPr>
          <w:lang w:val="en-US"/>
        </w:rPr>
        <w:t>connect</w:t>
      </w:r>
      <w:r>
        <w:t>/</w:t>
      </w:r>
      <w:r>
        <w:rPr>
          <w:lang w:val="en-US"/>
        </w:rPr>
        <w:t>rosstat</w:t>
      </w:r>
      <w:r>
        <w:t>_</w:t>
      </w:r>
      <w:r>
        <w:rPr>
          <w:lang w:val="en-US"/>
        </w:rPr>
        <w:t>ts</w:t>
      </w:r>
      <w:r>
        <w:t>/</w:t>
      </w:r>
      <w:r>
        <w:rPr>
          <w:lang w:val="en-US"/>
        </w:rPr>
        <w:t>bashstat</w:t>
      </w:r>
      <w:r>
        <w:t>/</w:t>
      </w:r>
      <w:r>
        <w:rPr>
          <w:lang w:val="en-US"/>
        </w:rPr>
        <w:t>ru</w:t>
      </w:r>
      <w:r>
        <w:t>/</w:t>
      </w:r>
      <w:r>
        <w:rPr>
          <w:lang w:val="en-US"/>
        </w:rPr>
        <w:t>statistics</w:t>
      </w:r>
      <w:r>
        <w:t>/</w:t>
      </w:r>
      <w:r>
        <w:rPr>
          <w:lang w:val="en-US"/>
        </w:rPr>
        <w:t>prices</w:t>
      </w:r>
      <w:r>
        <w:t>/</w:t>
      </w:r>
    </w:p>
  </w:footnote>
  <w:footnote w:id="14">
    <w:p w:rsidR="00E85D42" w:rsidRDefault="008113B9">
      <w:pPr>
        <w:pStyle w:val="af2"/>
      </w:pPr>
      <w:r>
        <w:rPr>
          <w:rStyle w:val="af4"/>
        </w:rPr>
        <w:footnoteRef/>
      </w:r>
      <w:r>
        <w:t xml:space="preserve"> </w:t>
      </w:r>
      <w:r>
        <w:t xml:space="preserve">Башкортостанстат. Электронный ресурс ] : офиц. сайт. Москва, 2019. </w:t>
      </w:r>
      <w:r>
        <w:rPr>
          <w:lang w:val="en-US"/>
        </w:rPr>
        <w:t>URL</w:t>
      </w:r>
      <w:r>
        <w:t xml:space="preserve">: </w:t>
      </w:r>
      <w:r>
        <w:rPr>
          <w:lang w:val="en-US"/>
        </w:rPr>
        <w:t>http</w:t>
      </w:r>
      <w:r>
        <w:t>://</w:t>
      </w:r>
      <w:r>
        <w:rPr>
          <w:lang w:val="en-US"/>
        </w:rPr>
        <w:t>bashstat</w:t>
      </w:r>
      <w:r>
        <w:t>.</w:t>
      </w:r>
      <w:r>
        <w:rPr>
          <w:lang w:val="en-US"/>
        </w:rPr>
        <w:t>gks</w:t>
      </w:r>
      <w:r>
        <w:t>.</w:t>
      </w:r>
      <w:r>
        <w:rPr>
          <w:lang w:val="en-US"/>
        </w:rPr>
        <w:t>ru</w:t>
      </w:r>
      <w:r>
        <w:t>/</w:t>
      </w:r>
      <w:r>
        <w:rPr>
          <w:lang w:val="en-US"/>
        </w:rPr>
        <w:t>wps</w:t>
      </w:r>
      <w:r>
        <w:t>/</w:t>
      </w:r>
      <w:r>
        <w:rPr>
          <w:lang w:val="en-US"/>
        </w:rPr>
        <w:t>wcm</w:t>
      </w:r>
      <w:r>
        <w:t>/</w:t>
      </w:r>
      <w:r>
        <w:rPr>
          <w:lang w:val="en-US"/>
        </w:rPr>
        <w:t>connect</w:t>
      </w:r>
      <w:r>
        <w:t>/</w:t>
      </w:r>
      <w:r>
        <w:rPr>
          <w:lang w:val="en-US"/>
        </w:rPr>
        <w:t>rosstat</w:t>
      </w:r>
      <w:r>
        <w:t>_</w:t>
      </w:r>
      <w:r>
        <w:rPr>
          <w:lang w:val="en-US"/>
        </w:rPr>
        <w:t>ts</w:t>
      </w:r>
      <w:r>
        <w:t>/</w:t>
      </w:r>
      <w:r>
        <w:rPr>
          <w:lang w:val="en-US"/>
        </w:rPr>
        <w:t>bashstat</w:t>
      </w:r>
      <w:r>
        <w:t>/</w:t>
      </w:r>
      <w:r>
        <w:rPr>
          <w:lang w:val="en-US"/>
        </w:rPr>
        <w:t>resources</w:t>
      </w:r>
      <w:r>
        <w:t>/</w:t>
      </w:r>
      <w:r>
        <w:rPr>
          <w:lang w:val="en-US"/>
        </w:rPr>
        <w:t>e</w:t>
      </w:r>
      <w:r>
        <w:t>907268042</w:t>
      </w:r>
      <w:r>
        <w:rPr>
          <w:lang w:val="en-US"/>
        </w:rPr>
        <w:t>a</w:t>
      </w:r>
      <w:r>
        <w:t>97</w:t>
      </w:r>
      <w:r>
        <w:rPr>
          <w:lang w:val="en-US"/>
        </w:rPr>
        <w:t>b</w:t>
      </w:r>
      <w:r>
        <w:t>3</w:t>
      </w:r>
      <w:r>
        <w:rPr>
          <w:lang w:val="en-US"/>
        </w:rPr>
        <w:t>ba</w:t>
      </w:r>
      <w:r>
        <w:t>9</w:t>
      </w:r>
      <w:r>
        <w:rPr>
          <w:lang w:val="en-US"/>
        </w:rPr>
        <w:t>f</w:t>
      </w:r>
      <w:r>
        <w:t>0</w:t>
      </w:r>
      <w:r>
        <w:rPr>
          <w:lang w:val="en-US"/>
        </w:rPr>
        <w:t>ad</w:t>
      </w:r>
      <w:r>
        <w:t>86540</w:t>
      </w:r>
      <w:r>
        <w:rPr>
          <w:lang w:val="en-US"/>
        </w:rPr>
        <w:t>d</w:t>
      </w:r>
      <w:r>
        <w:t>86</w:t>
      </w:r>
      <w:r>
        <w:rPr>
          <w:lang w:val="en-US"/>
        </w:rPr>
        <w:t>a</w:t>
      </w:r>
      <w:r>
        <w:t>5/</w:t>
      </w:r>
      <w:r>
        <w:rPr>
          <w:lang w:val="en-US"/>
        </w:rPr>
        <w:t>rj</w:t>
      </w:r>
      <w:r>
        <w:t>-2018.</w:t>
      </w:r>
      <w:r>
        <w:rPr>
          <w:lang w:val="en-US"/>
        </w:rPr>
        <w:t>pdf</w:t>
      </w:r>
    </w:p>
  </w:footnote>
  <w:footnote w:id="15">
    <w:p w:rsidR="00E85D42" w:rsidRDefault="008113B9">
      <w:pPr>
        <w:pStyle w:val="af2"/>
      </w:pPr>
      <w:r>
        <w:rPr>
          <w:rStyle w:val="af4"/>
        </w:rPr>
        <w:footnoteRef/>
      </w:r>
      <w:r>
        <w:t xml:space="preserve">Центральный банк Российской Федерации. Электронный ресурс] : офиц. сайт. Москва, 2018. </w:t>
      </w:r>
      <w:r>
        <w:rPr>
          <w:lang w:val="en-US"/>
        </w:rPr>
        <w:t>URL</w:t>
      </w:r>
      <w:r>
        <w:t xml:space="preserve">:  </w:t>
      </w:r>
      <w:r>
        <w:rPr>
          <w:lang w:val="en-US"/>
        </w:rPr>
        <w:t>https</w:t>
      </w:r>
      <w:r>
        <w:t>://</w:t>
      </w:r>
      <w:r>
        <w:rPr>
          <w:lang w:val="en-US"/>
        </w:rPr>
        <w:t>www</w:t>
      </w:r>
      <w:r>
        <w:t>.</w:t>
      </w:r>
      <w:r>
        <w:rPr>
          <w:lang w:val="en-US"/>
        </w:rPr>
        <w:t>cbr</w:t>
      </w:r>
      <w:r>
        <w:t>.</w:t>
      </w:r>
      <w:r>
        <w:rPr>
          <w:lang w:val="en-US"/>
        </w:rPr>
        <w:t>ru</w:t>
      </w:r>
      <w:r>
        <w:t>/</w:t>
      </w:r>
      <w:r>
        <w:rPr>
          <w:lang w:val="en-US"/>
        </w:rPr>
        <w:t>statistics</w:t>
      </w:r>
      <w:r>
        <w:t>/?</w:t>
      </w:r>
      <w:r>
        <w:rPr>
          <w:lang w:val="en-US"/>
        </w:rPr>
        <w:t>PrtId</w:t>
      </w:r>
      <w:r>
        <w:t>=</w:t>
      </w:r>
      <w:r>
        <w:rPr>
          <w:lang w:val="en-US"/>
        </w:rPr>
        <w:t>ipoteka</w:t>
      </w:r>
    </w:p>
  </w:footnote>
  <w:footnote w:id="16">
    <w:p w:rsidR="00E85D42" w:rsidRDefault="008113B9">
      <w:pPr>
        <w:pStyle w:val="af2"/>
      </w:pPr>
      <w:r>
        <w:rPr>
          <w:rStyle w:val="af4"/>
        </w:rPr>
        <w:footnoteRef/>
      </w:r>
      <w:r>
        <w:t xml:space="preserve"> Центральный Банк Российской Федерации. Электронный ресурс] : офиц. сайт. Москва, 2019. URL: http:////www.cbr.ru/statistics/table/?tableId=4-6&amp;dt=20190101</w:t>
      </w:r>
    </w:p>
  </w:footnote>
  <w:footnote w:id="17">
    <w:p w:rsidR="00E85D42" w:rsidRDefault="008113B9">
      <w:pPr>
        <w:pStyle w:val="af2"/>
      </w:pPr>
      <w:r>
        <w:rPr>
          <w:rStyle w:val="af4"/>
        </w:rPr>
        <w:footnoteRef/>
      </w:r>
      <w:r>
        <w:t xml:space="preserve"> Центральный Банк Российской Федерации. Электронный ресурс] : офиц. сайт. Москва, 2019. </w:t>
      </w:r>
      <w:r>
        <w:rPr>
          <w:lang w:val="en-US"/>
        </w:rPr>
        <w:t>URL</w:t>
      </w:r>
      <w:r>
        <w:t xml:space="preserve">: </w:t>
      </w:r>
      <w:r>
        <w:rPr>
          <w:lang w:val="en-US"/>
        </w:rPr>
        <w:t>http</w:t>
      </w:r>
      <w:r>
        <w:t>://</w:t>
      </w:r>
      <w:r>
        <w:rPr>
          <w:lang w:val="en-US"/>
        </w:rPr>
        <w:t>www</w:t>
      </w:r>
      <w:r>
        <w:t>.</w:t>
      </w:r>
      <w:r>
        <w:rPr>
          <w:lang w:val="en-US"/>
        </w:rPr>
        <w:t>cbr</w:t>
      </w:r>
      <w:r>
        <w:t>.</w:t>
      </w:r>
      <w:r>
        <w:rPr>
          <w:lang w:val="en-US"/>
        </w:rPr>
        <w:t>ru</w:t>
      </w:r>
      <w:r>
        <w:t>/</w:t>
      </w:r>
      <w:r>
        <w:rPr>
          <w:lang w:val="en-US"/>
        </w:rPr>
        <w:t>statistics</w:t>
      </w:r>
      <w:r>
        <w:t>/</w:t>
      </w:r>
      <w:r>
        <w:rPr>
          <w:lang w:val="en-US"/>
        </w:rPr>
        <w:t>table</w:t>
      </w:r>
      <w:r>
        <w:t>/?</w:t>
      </w:r>
      <w:r>
        <w:rPr>
          <w:lang w:val="en-US"/>
        </w:rPr>
        <w:t>dt</w:t>
      </w:r>
      <w:r>
        <w:t>=20090101&amp;</w:t>
      </w:r>
      <w:r>
        <w:rPr>
          <w:lang w:val="en-US"/>
        </w:rPr>
        <w:t>tableid</w:t>
      </w:r>
      <w:r>
        <w:t>=3-2#</w:t>
      </w:r>
      <w:r>
        <w:rPr>
          <w:lang w:val="en-US"/>
        </w:rPr>
        <w:t>highlight</w:t>
      </w:r>
    </w:p>
  </w:footnote>
  <w:footnote w:id="18">
    <w:p w:rsidR="00E85D42" w:rsidRDefault="008113B9">
      <w:pPr>
        <w:pStyle w:val="af2"/>
      </w:pPr>
      <w:r>
        <w:rPr>
          <w:rStyle w:val="af4"/>
        </w:rPr>
        <w:footnoteRef/>
      </w:r>
      <w:r>
        <w:t>Государственная информационная система жилищно-коммунального хозяйства</w:t>
      </w:r>
      <w:r>
        <w:t xml:space="preserve">. Электронный ресурс] : офиц. сайт. Москва, 2019. </w:t>
      </w:r>
      <w:r>
        <w:rPr>
          <w:lang w:val="en-US"/>
        </w:rPr>
        <w:t>URL</w:t>
      </w:r>
      <w:r>
        <w:t xml:space="preserve"> </w:t>
      </w:r>
      <w:r>
        <w:rPr>
          <w:lang w:val="en-US"/>
        </w:rPr>
        <w:t>https</w:t>
      </w:r>
      <w:r>
        <w:t>://</w:t>
      </w:r>
      <w:r>
        <w:rPr>
          <w:lang w:val="en-US"/>
        </w:rPr>
        <w:t>dom</w:t>
      </w:r>
      <w:r>
        <w:t>.</w:t>
      </w:r>
      <w:r>
        <w:rPr>
          <w:lang w:val="en-US"/>
        </w:rPr>
        <w:t>gosuslugi</w:t>
      </w:r>
      <w:r>
        <w:t>.</w:t>
      </w:r>
      <w:r>
        <w:rPr>
          <w:lang w:val="en-US"/>
        </w:rPr>
        <w:t>ru</w:t>
      </w:r>
      <w:r>
        <w:t>/#!/</w:t>
      </w:r>
      <w:r>
        <w:rPr>
          <w:lang w:val="en-US"/>
        </w:rPr>
        <w:t>public</w:t>
      </w:r>
      <w:r>
        <w:t>-</w:t>
      </w:r>
      <w:r>
        <w:rPr>
          <w:lang w:val="en-US"/>
        </w:rPr>
        <w:t>tariff</w:t>
      </w:r>
      <w:r>
        <w:t>/</w:t>
      </w:r>
      <w:r>
        <w:rPr>
          <w:lang w:val="en-US"/>
        </w:rPr>
        <w:t>communal</w:t>
      </w:r>
      <w:r>
        <w:t>-</w:t>
      </w:r>
      <w:r>
        <w:rPr>
          <w:lang w:val="en-US"/>
        </w:rPr>
        <w:t>resources</w:t>
      </w:r>
      <w:r>
        <w:t>/</w:t>
      </w:r>
      <w:r>
        <w:rPr>
          <w:lang w:val="en-US"/>
        </w:rPr>
        <w:t>search</w:t>
      </w:r>
    </w:p>
  </w:footnote>
  <w:footnote w:id="19">
    <w:p w:rsidR="00E85D42" w:rsidRDefault="008113B9">
      <w:pPr>
        <w:pStyle w:val="af2"/>
      </w:pPr>
      <w:r>
        <w:rPr>
          <w:rStyle w:val="af4"/>
        </w:rPr>
        <w:footnoteRef/>
      </w:r>
      <w:r>
        <w:t xml:space="preserve"> Государственный комитет Республики Башк</w:t>
      </w:r>
      <w:r>
        <w:t>ортостан по тарифам. Электронный ресурс] : офиц. сайт. Уфа, 2019. URL: https://tariff.bashkortostan.ru/presscenter/news/37212/</w:t>
      </w:r>
    </w:p>
  </w:footnote>
  <w:footnote w:id="20">
    <w:p w:rsidR="00E85D42" w:rsidRDefault="008113B9">
      <w:pPr>
        <w:pStyle w:val="af2"/>
        <w:ind w:firstLine="0"/>
      </w:pPr>
      <w:r>
        <w:rPr>
          <w:rStyle w:val="af4"/>
        </w:rPr>
        <w:footnoteRef/>
      </w:r>
      <w:r>
        <w:t xml:space="preserve"> </w:t>
      </w:r>
      <w:r>
        <w:rPr>
          <w:spacing w:val="-5"/>
          <w:lang w:eastAsia="en-US"/>
        </w:rPr>
        <w:t>В соответствии с Приложени</w:t>
      </w:r>
      <w:r>
        <w:rPr>
          <w:spacing w:val="-5"/>
          <w:lang w:eastAsia="en-US"/>
        </w:rPr>
        <w:t>ем № 1 к Методическим Указаниям.</w:t>
      </w:r>
    </w:p>
  </w:footnote>
  <w:footnote w:id="21">
    <w:p w:rsidR="00E85D42" w:rsidRDefault="008113B9">
      <w:pPr>
        <w:pStyle w:val="af2"/>
        <w:ind w:firstLine="0"/>
      </w:pPr>
      <w:r>
        <w:rPr>
          <w:rStyle w:val="af4"/>
        </w:rPr>
        <w:footnoteRef/>
      </w:r>
      <w:r>
        <w:t xml:space="preserve"> </w:t>
      </w:r>
      <w:r>
        <w:rPr>
          <w:spacing w:val="-5"/>
          <w:lang w:eastAsia="en-US"/>
        </w:rPr>
        <w:t>В соответствии с Приложением № 1 к Методическим Указаниям.</w:t>
      </w:r>
    </w:p>
  </w:footnote>
  <w:footnote w:id="22">
    <w:p w:rsidR="00E85D42" w:rsidRDefault="008113B9">
      <w:pPr>
        <w:pStyle w:val="af2"/>
        <w:ind w:firstLine="0"/>
      </w:pPr>
      <w:r>
        <w:rPr>
          <w:rStyle w:val="af4"/>
        </w:rPr>
        <w:footnoteRef/>
      </w:r>
      <w:r>
        <w:t xml:space="preserve"> </w:t>
      </w:r>
      <w:r>
        <w:rPr>
          <w:spacing w:val="-5"/>
          <w:lang w:eastAsia="en-US"/>
        </w:rPr>
        <w:t>В соответствии</w:t>
      </w:r>
      <w:r>
        <w:rPr>
          <w:spacing w:val="-5"/>
          <w:lang w:eastAsia="en-US"/>
        </w:rPr>
        <w:t xml:space="preserve"> с Приложением № 1 к Методическим Указаниям.</w:t>
      </w:r>
    </w:p>
  </w:footnote>
  <w:footnote w:id="23">
    <w:p w:rsidR="00E85D42" w:rsidRDefault="008113B9">
      <w:pPr>
        <w:pStyle w:val="af2"/>
      </w:pPr>
      <w:r>
        <w:rPr>
          <w:rStyle w:val="af4"/>
        </w:rPr>
        <w:footnoteRef/>
      </w:r>
      <w:r>
        <w:t xml:space="preserve"> «Технические указания по государственной кадастровой оценке земель сельскохозяйственного назначения», утверждены правлением </w:t>
      </w:r>
      <w:r>
        <w:t>НП «Кадастр-Оценка», протокол заседания правления №29 от 27.12.2010 г.(далее –ТУ)</w:t>
      </w:r>
    </w:p>
  </w:footnote>
  <w:footnote w:id="24">
    <w:p w:rsidR="00E85D42" w:rsidRDefault="008113B9">
      <w:pPr>
        <w:pStyle w:val="af2"/>
      </w:pPr>
      <w:r>
        <w:rPr>
          <w:rStyle w:val="af4"/>
        </w:rPr>
        <w:footnoteRef/>
      </w:r>
      <w:r>
        <w:t xml:space="preserve"> </w:t>
      </w:r>
      <w:r>
        <w:rPr>
          <w:sz w:val="16"/>
          <w:szCs w:val="16"/>
        </w:rPr>
        <w:t>Справочник оценщика недвижимости – 2018. Земельные участки. Часть I / Л.А. Лейфер, Т.В. Крайникова. – Н.Новгород: Приволжский центр методического и информационного обеспечения оценки, 2018. – 286 с</w:t>
      </w:r>
    </w:p>
  </w:footnote>
  <w:footnote w:id="25">
    <w:p w:rsidR="00E85D42" w:rsidRDefault="008113B9">
      <w:pPr>
        <w:pStyle w:val="af2"/>
      </w:pPr>
      <w:r>
        <w:rPr>
          <w:rStyle w:val="af4"/>
        </w:rPr>
        <w:footnoteRef/>
      </w:r>
      <w:hyperlink r:id="rId3" w:history="1">
        <w:r>
          <w:rPr>
            <w:rStyle w:val="a5"/>
          </w:rPr>
          <w:t>https://statrielt.ru/statistika-rynka/statistika-na-01-01-2019g/korrektirovki-stoimosti-zemli/1697-na-razreshennoe-ispolzovanie-zemelnogo-uchastka-korrektirovki-na-01-01-2019-goda</w:t>
        </w:r>
      </w:hyperlink>
    </w:p>
  </w:footnote>
  <w:footnote w:id="26">
    <w:p w:rsidR="00E85D42" w:rsidRDefault="008113B9">
      <w:pPr>
        <w:pStyle w:val="af2"/>
      </w:pPr>
      <w:r>
        <w:rPr>
          <w:rStyle w:val="af4"/>
        </w:rPr>
        <w:footnoteRef/>
      </w:r>
      <w:r>
        <w:t xml:space="preserve"> </w:t>
      </w:r>
      <w:r>
        <w:rPr>
          <w:rStyle w:val="a5"/>
          <w:color w:val="auto"/>
          <w:u w:val="none"/>
        </w:rPr>
        <w:t xml:space="preserve">Источник информации: </w:t>
      </w:r>
      <w:r>
        <w:t>https://statrielt.ru/statistika-rynka/statistika-na-01-01-2019g/korrektirovki-stoimosti-zemli</w:t>
      </w:r>
    </w:p>
  </w:footnote>
  <w:footnote w:id="27">
    <w:p w:rsidR="00E85D42" w:rsidRDefault="008113B9">
      <w:pPr>
        <w:pStyle w:val="af2"/>
      </w:pPr>
      <w:r>
        <w:rPr>
          <w:rStyle w:val="af4"/>
        </w:rPr>
        <w:footnoteRef/>
      </w:r>
      <w:r>
        <w:t xml:space="preserve"> </w:t>
      </w:r>
      <w:r>
        <w:rPr>
          <w:rStyle w:val="a5"/>
          <w:color w:val="auto"/>
          <w:u w:val="none"/>
        </w:rPr>
        <w:t xml:space="preserve">Источник информации: </w:t>
      </w:r>
      <w:r>
        <w:t>https://statrielt.ru/statistika-rynka/statistika-na-01-01-2019g/korrektirovki-stoimosti-zemli</w:t>
      </w:r>
    </w:p>
  </w:footnote>
  <w:footnote w:id="28">
    <w:p w:rsidR="00E85D42" w:rsidRDefault="008113B9">
      <w:pPr>
        <w:pStyle w:val="af2"/>
      </w:pPr>
      <w:r>
        <w:rPr>
          <w:rStyle w:val="af4"/>
        </w:rPr>
        <w:footnoteRef/>
      </w:r>
      <w:r>
        <w:t xml:space="preserve"> </w:t>
      </w:r>
      <w:hyperlink r:id="rId4" w:history="1">
        <w:r>
          <w:rPr>
            <w:color w:val="0000FF"/>
            <w:sz w:val="18"/>
            <w:szCs w:val="18"/>
            <w:u w:val="single"/>
          </w:rPr>
          <w:t>https://statrielt.ru/statistika-rynka/statistika-na-01-01-2019g/</w:t>
        </w:r>
        <w:r>
          <w:rPr>
            <w:color w:val="0000FF"/>
            <w:sz w:val="18"/>
            <w:szCs w:val="18"/>
            <w:u w:val="single"/>
          </w:rPr>
          <w:t>korrektirovki-stoimosti-zemli/1696-sroki-likvidnosti-sroki-prodazhi-ekspozitsii-tipichnye-dlya-rynka-zemelnykh-uchastkov-i-massivov-na-01-01-2019-goda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
      <w:jc w:val="center"/>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
      <w:jc w:val="center"/>
    </w:pPr>
    <w:r>
      <w:rPr>
        <w:b/>
        <w:color w:val="000000"/>
        <w:sz w:val="12"/>
        <w:szCs w:val="12"/>
      </w:rPr>
      <w:t>ГБУ РБ «ГОСУДАРСТВЕННАЯ КАДАСТРОВАЯ ОЦЕНКА И ТЕХНИЧЕСКАЯ ИНВЕНТАРИЗАЦИЯ»</w:t>
    </w:r>
  </w:p>
  <w:p w:rsidR="00984AC1" w:rsidRDefault="008113B9">
    <w:pPr>
      <w:pStyle w:val="aff"/>
      <w:tabs>
        <w:tab w:val="clear" w:pos="4677"/>
        <w:tab w:val="clear" w:pos="9355"/>
        <w:tab w:val="left" w:pos="369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
      <w:jc w:val="center"/>
    </w:pPr>
    <w:r>
      <w:rPr>
        <w:b/>
        <w:color w:val="000000"/>
        <w:sz w:val="12"/>
        <w:szCs w:val="12"/>
      </w:rPr>
      <w:t>ГБУ РБ «ГОСУДАРСТВЕННАЯ КАДАСТРОВАЯ ОЦЕНКА И ТЕХНИЧЕСКАЯ ИНВЕНТАРИЗАЦИЯ»</w:t>
    </w:r>
  </w:p>
  <w:p w:rsidR="00984AC1" w:rsidRDefault="008113B9">
    <w:pPr>
      <w:pStyle w:val="aff"/>
      <w:jc w:val="center"/>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
      <w:jc w:val="center"/>
    </w:pPr>
    <w:r>
      <w:rPr>
        <w:b/>
        <w:color w:val="000000"/>
        <w:sz w:val="12"/>
        <w:szCs w:val="12"/>
      </w:rPr>
      <w:t xml:space="preserve">ГБУ РБ «ГОСУДАРСТВЕННАЯ </w:t>
    </w:r>
    <w:r>
      <w:rPr>
        <w:b/>
        <w:color w:val="000000"/>
        <w:sz w:val="12"/>
        <w:szCs w:val="12"/>
      </w:rPr>
      <w:t>КАДАСТРОВАЯ ОЦЕНКА И ТЕХНИЧЕСКАЯ ИНВЕНТАРИЗАЦИЯ»</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
      <w:jc w:val="center"/>
    </w:pPr>
    <w:r>
      <w:rPr>
        <w:b/>
        <w:color w:val="000000"/>
        <w:sz w:val="12"/>
        <w:szCs w:val="12"/>
      </w:rPr>
      <w:t>ГБУ РБ «ГОСУДАРСТВЕННАЯ КАДАСТРОВАЯ ОЦЕНКА И ТЕХНИЧЕСКАЯ ИНВЕНТАРИЗАЦИЯ»</w:t>
    </w:r>
  </w:p>
  <w:p w:rsidR="00984AC1" w:rsidRDefault="008113B9">
    <w:pPr>
      <w:pStyle w:val="aff"/>
      <w:jc w:val="center"/>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
      <w:jc w:val="center"/>
    </w:pPr>
    <w:r>
      <w:rPr>
        <w:b/>
        <w:color w:val="000000"/>
        <w:sz w:val="12"/>
        <w:szCs w:val="12"/>
      </w:rPr>
      <w:t>ГБУ РБ «ГОСУДАРСТВЕННАЯ КАДАСТРОВАЯ ОЦЕНКА И ТЕХНИЧЕСКАЯ ИНВЕНТАРИЗАЦИЯ»</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
      <w:jc w:val="center"/>
    </w:pPr>
    <w:r>
      <w:rPr>
        <w:b/>
        <w:color w:val="000000"/>
        <w:sz w:val="12"/>
        <w:szCs w:val="12"/>
      </w:rPr>
      <w:t>ГБУ РБ «ГОСУДАРСТВЕННАЯ КАДАСТРОВАЯ ОЦЕНКА И ТЕХНИЧЕСКАЯ ИНВЕНТАРИЗАЦИЯ»</w:t>
    </w:r>
  </w:p>
  <w:p w:rsidR="00984AC1" w:rsidRDefault="008113B9">
    <w:pPr>
      <w:pStyle w:val="aff"/>
      <w:jc w:val="center"/>
    </w:pPr>
    <w: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C1" w:rsidRDefault="008113B9">
    <w:pPr>
      <w:pStyle w:val="aff"/>
      <w:jc w:val="center"/>
    </w:pPr>
    <w:r>
      <w:rPr>
        <w:b/>
        <w:color w:val="000000"/>
        <w:sz w:val="12"/>
        <w:szCs w:val="12"/>
      </w:rPr>
      <w:t>ГБУ РБ «ГОСУДАРСТВЕННАЯ КАДАСТРОВАЯ ОЦЕНКА И ТЕХНИЧЕСКАЯ ИНВЕНТАРИЗАЦИЯ»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96349"/>
    <w:multiLevelType w:val="multilevel"/>
    <w:tmpl w:val="792E3806"/>
    <w:lvl w:ilvl="0">
      <w:numFmt w:val="bullet"/>
      <w:lvlText w:val="–"/>
      <w:lvlJc w:val="left"/>
      <w:pPr>
        <w:ind w:left="1440" w:hanging="360"/>
      </w:pPr>
      <w:rPr>
        <w:rFonts w:ascii="Times New Roman" w:eastAsia="Calibri"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 w15:restartNumberingAfterBreak="0">
    <w:nsid w:val="0E0E5C06"/>
    <w:multiLevelType w:val="multilevel"/>
    <w:tmpl w:val="3DE86CA0"/>
    <w:styleLink w:val="LFO5"/>
    <w:lvl w:ilvl="0">
      <w:start w:val="1"/>
      <w:numFmt w:val="decimal"/>
      <w:pStyle w:val="021"/>
      <w:lvlText w:val="%1."/>
      <w:lvlJc w:val="left"/>
      <w:pPr>
        <w:ind w:left="1980" w:hanging="360"/>
      </w:pPr>
    </w:lvl>
    <w:lvl w:ilvl="1">
      <w:start w:val="1"/>
      <w:numFmt w:val="decimal"/>
      <w:lvlText w:val="2.%2."/>
      <w:lvlJc w:val="left"/>
      <w:pPr>
        <w:ind w:left="2592" w:hanging="432"/>
      </w:pPr>
      <w:rPr>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2844" w:hanging="504"/>
      </w:pPr>
    </w:lvl>
    <w:lvl w:ilvl="3">
      <w:start w:val="1"/>
      <w:numFmt w:val="decimal"/>
      <w:lvlText w:val="%1.%2.%3.%4."/>
      <w:lvlJc w:val="left"/>
      <w:pPr>
        <w:ind w:left="3348" w:hanging="648"/>
      </w:pPr>
    </w:lvl>
    <w:lvl w:ilvl="4">
      <w:start w:val="1"/>
      <w:numFmt w:val="decimal"/>
      <w:lvlText w:val="%1.%2.%3.%4.%5."/>
      <w:lvlJc w:val="left"/>
      <w:pPr>
        <w:ind w:left="3852" w:hanging="792"/>
      </w:pPr>
    </w:lvl>
    <w:lvl w:ilvl="5">
      <w:start w:val="1"/>
      <w:numFmt w:val="decimal"/>
      <w:lvlText w:val="%1.%2.%3.%4.%5.%6."/>
      <w:lvlJc w:val="left"/>
      <w:pPr>
        <w:ind w:left="4356" w:hanging="936"/>
      </w:pPr>
    </w:lvl>
    <w:lvl w:ilvl="6">
      <w:start w:val="1"/>
      <w:numFmt w:val="decimal"/>
      <w:lvlText w:val="%1.%2.%3.%4.%5.%6.%7."/>
      <w:lvlJc w:val="left"/>
      <w:pPr>
        <w:ind w:left="4860" w:hanging="1080"/>
      </w:pPr>
    </w:lvl>
    <w:lvl w:ilvl="7">
      <w:start w:val="1"/>
      <w:numFmt w:val="decimal"/>
      <w:lvlText w:val="%1.%2.%3.%4.%5.%6.%7.%8."/>
      <w:lvlJc w:val="left"/>
      <w:pPr>
        <w:ind w:left="5364" w:hanging="1224"/>
      </w:pPr>
    </w:lvl>
    <w:lvl w:ilvl="8">
      <w:start w:val="1"/>
      <w:numFmt w:val="decimal"/>
      <w:lvlText w:val="%1.%2.%3.%4.%5.%6.%7.%8.%9."/>
      <w:lvlJc w:val="left"/>
      <w:pPr>
        <w:ind w:left="5940" w:hanging="1440"/>
      </w:pPr>
    </w:lvl>
  </w:abstractNum>
  <w:abstractNum w:abstractNumId="2" w15:restartNumberingAfterBreak="0">
    <w:nsid w:val="14AA6F20"/>
    <w:multiLevelType w:val="multilevel"/>
    <w:tmpl w:val="D83C30C8"/>
    <w:lvl w:ilvl="0">
      <w:numFmt w:val="bullet"/>
      <w:lvlText w:val=""/>
      <w:lvlJc w:val="left"/>
      <w:pPr>
        <w:ind w:left="1080" w:hanging="360"/>
      </w:pPr>
      <w:rPr>
        <w:rFonts w:ascii="Wingdings 2" w:hAnsi="Wingdings 2"/>
        <w:sz w:val="10"/>
        <w:szCs w:val="10"/>
      </w:rPr>
    </w:lvl>
    <w:lvl w:ilvl="1">
      <w:start w:val="1"/>
      <w:numFmt w:val="decimal"/>
      <w:lvlText w:val="%2."/>
      <w:lvlJc w:val="left"/>
      <w:pPr>
        <w:ind w:left="1800" w:hanging="360"/>
      </w:pPr>
      <w:rPr>
        <w:sz w:val="10"/>
        <w:szCs w:val="1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A072A29"/>
    <w:multiLevelType w:val="multilevel"/>
    <w:tmpl w:val="3850C3BC"/>
    <w:lvl w:ilvl="0">
      <w:start w:val="1"/>
      <w:numFmt w:val="decimal"/>
      <w:lvlText w:val="%1."/>
      <w:lvlJc w:val="left"/>
      <w:pPr>
        <w:ind w:left="420" w:hanging="420"/>
      </w:pPr>
    </w:lvl>
    <w:lvl w:ilvl="1">
      <w:start w:val="1"/>
      <w:numFmt w:val="decimal"/>
      <w:lvlText w:val="%1.%2."/>
      <w:lvlJc w:val="left"/>
      <w:pPr>
        <w:ind w:left="996" w:hanging="420"/>
      </w:pPr>
    </w:lvl>
    <w:lvl w:ilvl="2">
      <w:start w:val="1"/>
      <w:numFmt w:val="decimal"/>
      <w:lvlText w:val="%1.%2.%3."/>
      <w:lvlJc w:val="left"/>
      <w:pPr>
        <w:ind w:left="1872" w:hanging="720"/>
      </w:pPr>
    </w:lvl>
    <w:lvl w:ilvl="3">
      <w:start w:val="1"/>
      <w:numFmt w:val="decimal"/>
      <w:lvlText w:val="%1.%2.%3.%4."/>
      <w:lvlJc w:val="left"/>
      <w:pPr>
        <w:ind w:left="2448" w:hanging="720"/>
      </w:pPr>
    </w:lvl>
    <w:lvl w:ilvl="4">
      <w:start w:val="1"/>
      <w:numFmt w:val="decimal"/>
      <w:lvlText w:val="%1.%2.%3.%4.%5."/>
      <w:lvlJc w:val="left"/>
      <w:pPr>
        <w:ind w:left="3384" w:hanging="1080"/>
      </w:pPr>
    </w:lvl>
    <w:lvl w:ilvl="5">
      <w:start w:val="1"/>
      <w:numFmt w:val="decimal"/>
      <w:lvlText w:val="%1.%2.%3.%4.%5.%6."/>
      <w:lvlJc w:val="left"/>
      <w:pPr>
        <w:ind w:left="3960" w:hanging="1080"/>
      </w:pPr>
    </w:lvl>
    <w:lvl w:ilvl="6">
      <w:start w:val="1"/>
      <w:numFmt w:val="decimal"/>
      <w:lvlText w:val="%1.%2.%3.%4.%5.%6.%7."/>
      <w:lvlJc w:val="left"/>
      <w:pPr>
        <w:ind w:left="4896" w:hanging="1440"/>
      </w:pPr>
    </w:lvl>
    <w:lvl w:ilvl="7">
      <w:start w:val="1"/>
      <w:numFmt w:val="decimal"/>
      <w:lvlText w:val="%1.%2.%3.%4.%5.%6.%7.%8."/>
      <w:lvlJc w:val="left"/>
      <w:pPr>
        <w:ind w:left="5472" w:hanging="1440"/>
      </w:pPr>
    </w:lvl>
    <w:lvl w:ilvl="8">
      <w:start w:val="1"/>
      <w:numFmt w:val="decimal"/>
      <w:lvlText w:val="%1.%2.%3.%4.%5.%6.%7.%8.%9."/>
      <w:lvlJc w:val="left"/>
      <w:pPr>
        <w:ind w:left="6408" w:hanging="1800"/>
      </w:pPr>
    </w:lvl>
  </w:abstractNum>
  <w:abstractNum w:abstractNumId="4" w15:restartNumberingAfterBreak="0">
    <w:nsid w:val="1EEF7570"/>
    <w:multiLevelType w:val="multilevel"/>
    <w:tmpl w:val="1E286714"/>
    <w:styleLink w:val="WWNum10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1F6F2EC7"/>
    <w:multiLevelType w:val="multilevel"/>
    <w:tmpl w:val="733888C6"/>
    <w:lvl w:ilvl="0">
      <w:start w:val="1"/>
      <w:numFmt w:val="decimal"/>
      <w:lvlText w:val="%1."/>
      <w:lvlJc w:val="left"/>
      <w:pPr>
        <w:ind w:left="720" w:hanging="360"/>
      </w:pPr>
      <w:rPr>
        <w:b w:val="0"/>
        <w:i w:val="0"/>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1FF75E7"/>
    <w:multiLevelType w:val="multilevel"/>
    <w:tmpl w:val="04B600A6"/>
    <w:styleLink w:val="WWNum102"/>
    <w:lvl w:ilvl="0">
      <w:start w:val="1"/>
      <w:numFmt w:val="decimal"/>
      <w:lvlText w:val="%1."/>
      <w:lvlJc w:val="left"/>
      <w:rPr>
        <w:b/>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242B366A"/>
    <w:multiLevelType w:val="multilevel"/>
    <w:tmpl w:val="992E1102"/>
    <w:styleLink w:val="LFO7"/>
    <w:lvl w:ilvl="0">
      <w:numFmt w:val="bullet"/>
      <w:pStyle w:val="avg-2-"/>
      <w:lvlText w:val=""/>
      <w:lvlJc w:val="left"/>
      <w:pPr>
        <w:ind w:left="180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4195181"/>
    <w:multiLevelType w:val="multilevel"/>
    <w:tmpl w:val="06A40EA0"/>
    <w:lvl w:ilvl="0">
      <w:numFmt w:val="bullet"/>
      <w:lvlText w:val=""/>
      <w:lvlJc w:val="left"/>
      <w:pPr>
        <w:ind w:left="1288" w:hanging="360"/>
      </w:pPr>
      <w:rPr>
        <w:rFonts w:ascii="Symbol" w:hAnsi="Symbol"/>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rPr>
    </w:lvl>
    <w:lvl w:ilvl="3">
      <w:numFmt w:val="bullet"/>
      <w:lvlText w:val=""/>
      <w:lvlJc w:val="left"/>
      <w:pPr>
        <w:ind w:left="3448" w:hanging="360"/>
      </w:pPr>
      <w:rPr>
        <w:rFonts w:ascii="Symbol" w:hAnsi="Symbol"/>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rPr>
    </w:lvl>
    <w:lvl w:ilvl="6">
      <w:numFmt w:val="bullet"/>
      <w:lvlText w:val=""/>
      <w:lvlJc w:val="left"/>
      <w:pPr>
        <w:ind w:left="5608" w:hanging="360"/>
      </w:pPr>
      <w:rPr>
        <w:rFonts w:ascii="Symbol" w:hAnsi="Symbol"/>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rPr>
    </w:lvl>
  </w:abstractNum>
  <w:abstractNum w:abstractNumId="9" w15:restartNumberingAfterBreak="0">
    <w:nsid w:val="36B202D3"/>
    <w:multiLevelType w:val="multilevel"/>
    <w:tmpl w:val="0EF89B12"/>
    <w:styleLink w:val="WWOutlineListStyle1"/>
    <w:lvl w:ilvl="0">
      <w:start w:val="1"/>
      <w:numFmt w:val="none"/>
      <w:lvlText w:val="%1"/>
      <w:lvlJc w:val="left"/>
    </w:lvl>
    <w:lvl w:ilvl="1">
      <w:start w:val="1"/>
      <w:numFmt w:val="decimal"/>
      <w:pStyle w:val="2"/>
      <w:lvlText w:val="%1.%2"/>
      <w:lvlJc w:val="left"/>
      <w:pPr>
        <w:ind w:left="1427" w:hanging="576"/>
      </w:pPr>
    </w:lvl>
    <w:lvl w:ilvl="2">
      <w:start w:val="1"/>
      <w:numFmt w:val="decimal"/>
      <w:pStyle w:val="3"/>
      <w:lvlText w:val="%1.%2.%3"/>
      <w:lvlJc w:val="left"/>
      <w:pPr>
        <w:ind w:left="862" w:hanging="720"/>
      </w:pPr>
    </w:lvl>
    <w:lvl w:ilvl="3">
      <w:start w:val="1"/>
      <w:numFmt w:val="decimal"/>
      <w:pStyle w:val="4"/>
      <w:lvlText w:val="%1.%2.%3.%4"/>
      <w:lvlJc w:val="left"/>
      <w:pPr>
        <w:ind w:left="2282" w:hanging="864"/>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3ADF4AD1"/>
    <w:multiLevelType w:val="multilevel"/>
    <w:tmpl w:val="06CAB4C8"/>
    <w:lvl w:ilvl="0">
      <w:start w:val="1"/>
      <w:numFmt w:val="decimal"/>
      <w:lvlText w:val="%1)"/>
      <w:lvlJc w:val="left"/>
      <w:pPr>
        <w:ind w:left="1070" w:hanging="360"/>
      </w:pPr>
      <w:rPr>
        <w:rFonts w:cs="Times New Roman"/>
      </w:rPr>
    </w:lvl>
    <w:lvl w:ilvl="1">
      <w:start w:val="1"/>
      <w:numFmt w:val="lowerLetter"/>
      <w:lvlText w:val="%2)"/>
      <w:lvlJc w:val="left"/>
      <w:pPr>
        <w:ind w:left="-130" w:hanging="360"/>
      </w:pPr>
      <w:rPr>
        <w:rFonts w:cs="Times New Roman"/>
      </w:rPr>
    </w:lvl>
    <w:lvl w:ilvl="2">
      <w:start w:val="1"/>
      <w:numFmt w:val="lowerRoman"/>
      <w:lvlText w:val="%3)"/>
      <w:lvlJc w:val="left"/>
      <w:pPr>
        <w:ind w:left="230" w:hanging="360"/>
      </w:pPr>
      <w:rPr>
        <w:rFonts w:cs="Times New Roman"/>
      </w:rPr>
    </w:lvl>
    <w:lvl w:ilvl="3">
      <w:start w:val="1"/>
      <w:numFmt w:val="decimal"/>
      <w:lvlText w:val="(%4)"/>
      <w:lvlJc w:val="left"/>
      <w:pPr>
        <w:ind w:left="590" w:hanging="360"/>
      </w:pPr>
      <w:rPr>
        <w:rFonts w:cs="Times New Roman"/>
      </w:rPr>
    </w:lvl>
    <w:lvl w:ilvl="4">
      <w:start w:val="1"/>
      <w:numFmt w:val="lowerLetter"/>
      <w:lvlText w:val="(%5)"/>
      <w:lvlJc w:val="left"/>
      <w:pPr>
        <w:ind w:left="950" w:hanging="360"/>
      </w:pPr>
      <w:rPr>
        <w:rFonts w:cs="Times New Roman"/>
      </w:rPr>
    </w:lvl>
    <w:lvl w:ilvl="5">
      <w:start w:val="1"/>
      <w:numFmt w:val="lowerRoman"/>
      <w:lvlText w:val="(%6)"/>
      <w:lvlJc w:val="left"/>
      <w:pPr>
        <w:ind w:left="1310" w:hanging="360"/>
      </w:pPr>
      <w:rPr>
        <w:rFonts w:cs="Times New Roman"/>
      </w:rPr>
    </w:lvl>
    <w:lvl w:ilvl="6">
      <w:start w:val="1"/>
      <w:numFmt w:val="decimal"/>
      <w:lvlText w:val="%7."/>
      <w:lvlJc w:val="left"/>
      <w:pPr>
        <w:ind w:left="1495" w:hanging="360"/>
      </w:pPr>
      <w:rPr>
        <w:rFonts w:cs="Times New Roman"/>
      </w:rPr>
    </w:lvl>
    <w:lvl w:ilvl="7">
      <w:start w:val="1"/>
      <w:numFmt w:val="lowerLetter"/>
      <w:lvlText w:val="%8."/>
      <w:lvlJc w:val="left"/>
      <w:pPr>
        <w:ind w:left="2030" w:hanging="360"/>
      </w:pPr>
      <w:rPr>
        <w:rFonts w:cs="Times New Roman"/>
      </w:rPr>
    </w:lvl>
    <w:lvl w:ilvl="8">
      <w:start w:val="1"/>
      <w:numFmt w:val="lowerRoman"/>
      <w:lvlText w:val="%9."/>
      <w:lvlJc w:val="left"/>
      <w:pPr>
        <w:ind w:left="2390" w:hanging="360"/>
      </w:pPr>
      <w:rPr>
        <w:rFonts w:cs="Times New Roman"/>
      </w:rPr>
    </w:lvl>
  </w:abstractNum>
  <w:abstractNum w:abstractNumId="11" w15:restartNumberingAfterBreak="0">
    <w:nsid w:val="3E80030E"/>
    <w:multiLevelType w:val="multilevel"/>
    <w:tmpl w:val="B41C3B00"/>
    <w:styleLink w:val="LFO65"/>
    <w:lvl w:ilvl="0">
      <w:numFmt w:val="bullet"/>
      <w:pStyle w:val="1"/>
      <w:lvlText w:val="-"/>
      <w:lvlJc w:val="left"/>
      <w:pPr>
        <w:ind w:left="1211" w:hanging="360"/>
      </w:pPr>
      <w:rPr>
        <w:rFonts w:ascii="Times New Roman" w:eastAsia="Calibri" w:hAnsi="Times New Roman" w:cs="Times New Roman"/>
      </w:rPr>
    </w:lvl>
    <w:lvl w:ilvl="1">
      <w:numFmt w:val="bullet"/>
      <w:lvlText w:val="o"/>
      <w:lvlJc w:val="left"/>
      <w:pPr>
        <w:ind w:left="1931" w:hanging="360"/>
      </w:pPr>
      <w:rPr>
        <w:rFonts w:ascii="Courier New" w:hAnsi="Courier New" w:cs="Courier New"/>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cs="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cs="Courier New"/>
      </w:rPr>
    </w:lvl>
    <w:lvl w:ilvl="8">
      <w:numFmt w:val="bullet"/>
      <w:lvlText w:val=""/>
      <w:lvlJc w:val="left"/>
      <w:pPr>
        <w:ind w:left="6971" w:hanging="360"/>
      </w:pPr>
      <w:rPr>
        <w:rFonts w:ascii="Wingdings" w:hAnsi="Wingdings"/>
      </w:rPr>
    </w:lvl>
  </w:abstractNum>
  <w:abstractNum w:abstractNumId="12" w15:restartNumberingAfterBreak="0">
    <w:nsid w:val="44204ACA"/>
    <w:multiLevelType w:val="multilevel"/>
    <w:tmpl w:val="B6DA3C40"/>
    <w:lvl w:ilvl="0">
      <w:numFmt w:val="bullet"/>
      <w:lvlText w:val=""/>
      <w:lvlJc w:val="left"/>
      <w:pPr>
        <w:ind w:left="1288" w:hanging="360"/>
      </w:pPr>
      <w:rPr>
        <w:rFonts w:ascii="Symbol" w:hAnsi="Symbol"/>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rPr>
    </w:lvl>
    <w:lvl w:ilvl="3">
      <w:numFmt w:val="bullet"/>
      <w:lvlText w:val=""/>
      <w:lvlJc w:val="left"/>
      <w:pPr>
        <w:ind w:left="3448" w:hanging="360"/>
      </w:pPr>
      <w:rPr>
        <w:rFonts w:ascii="Symbol" w:hAnsi="Symbol"/>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rPr>
    </w:lvl>
    <w:lvl w:ilvl="6">
      <w:numFmt w:val="bullet"/>
      <w:lvlText w:val=""/>
      <w:lvlJc w:val="left"/>
      <w:pPr>
        <w:ind w:left="5608" w:hanging="360"/>
      </w:pPr>
      <w:rPr>
        <w:rFonts w:ascii="Symbol" w:hAnsi="Symbol"/>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rPr>
    </w:lvl>
  </w:abstractNum>
  <w:abstractNum w:abstractNumId="13" w15:restartNumberingAfterBreak="0">
    <w:nsid w:val="48843BA5"/>
    <w:multiLevelType w:val="multilevel"/>
    <w:tmpl w:val="F25A2CB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4" w15:restartNumberingAfterBreak="0">
    <w:nsid w:val="4F553D43"/>
    <w:multiLevelType w:val="multilevel"/>
    <w:tmpl w:val="CFB01722"/>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24555AD"/>
    <w:multiLevelType w:val="multilevel"/>
    <w:tmpl w:val="2C7C0B1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570F1DDB"/>
    <w:multiLevelType w:val="multilevel"/>
    <w:tmpl w:val="2056E268"/>
    <w:styleLink w:val="WWNum10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5B6E677F"/>
    <w:multiLevelType w:val="multilevel"/>
    <w:tmpl w:val="8FEAB142"/>
    <w:lvl w:ilvl="0">
      <w:start w:val="1"/>
      <w:numFmt w:val="decimal"/>
      <w:lvlText w:val="%1)"/>
      <w:lvlJc w:val="left"/>
      <w:pPr>
        <w:ind w:left="9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C100C42"/>
    <w:multiLevelType w:val="multilevel"/>
    <w:tmpl w:val="CE7879F0"/>
    <w:styleLink w:val="LFO36"/>
    <w:lvl w:ilvl="0">
      <w:numFmt w:val="bullet"/>
      <w:pStyle w:val="a"/>
      <w:lvlText w:val=""/>
      <w:lvlJc w:val="left"/>
      <w:pPr>
        <w:ind w:left="2772" w:hanging="360"/>
      </w:pPr>
      <w:rPr>
        <w:rFonts w:ascii="Symbol" w:hAnsi="Symbol"/>
      </w:rPr>
    </w:lvl>
    <w:lvl w:ilvl="1">
      <w:numFmt w:val="bullet"/>
      <w:lvlText w:val=""/>
      <w:lvlJc w:val="left"/>
      <w:pPr>
        <w:ind w:left="2205" w:hanging="360"/>
      </w:pPr>
      <w:rPr>
        <w:rFonts w:ascii="Symbol" w:hAnsi="Symbol"/>
      </w:rPr>
    </w:lvl>
    <w:lvl w:ilvl="2">
      <w:numFmt w:val="bullet"/>
      <w:lvlText w:val=""/>
      <w:lvlJc w:val="left"/>
      <w:pPr>
        <w:ind w:left="2925" w:hanging="360"/>
      </w:pPr>
      <w:rPr>
        <w:rFonts w:ascii="Wingdings" w:hAnsi="Wingdings"/>
      </w:rPr>
    </w:lvl>
    <w:lvl w:ilvl="3">
      <w:numFmt w:val="bullet"/>
      <w:lvlText w:val=""/>
      <w:lvlJc w:val="left"/>
      <w:pPr>
        <w:ind w:left="3645" w:hanging="360"/>
      </w:pPr>
      <w:rPr>
        <w:rFonts w:ascii="Symbol" w:hAnsi="Symbol"/>
      </w:rPr>
    </w:lvl>
    <w:lvl w:ilvl="4">
      <w:numFmt w:val="bullet"/>
      <w:lvlText w:val="o"/>
      <w:lvlJc w:val="left"/>
      <w:pPr>
        <w:ind w:left="4365" w:hanging="360"/>
      </w:pPr>
      <w:rPr>
        <w:rFonts w:ascii="Courier New" w:hAnsi="Courier New" w:cs="Courier New"/>
      </w:rPr>
    </w:lvl>
    <w:lvl w:ilvl="5">
      <w:numFmt w:val="bullet"/>
      <w:lvlText w:val=""/>
      <w:lvlJc w:val="left"/>
      <w:pPr>
        <w:ind w:left="5085" w:hanging="360"/>
      </w:pPr>
      <w:rPr>
        <w:rFonts w:ascii="Wingdings" w:hAnsi="Wingdings"/>
      </w:rPr>
    </w:lvl>
    <w:lvl w:ilvl="6">
      <w:numFmt w:val="bullet"/>
      <w:lvlText w:val=""/>
      <w:lvlJc w:val="left"/>
      <w:pPr>
        <w:ind w:left="5805" w:hanging="360"/>
      </w:pPr>
      <w:rPr>
        <w:rFonts w:ascii="Symbol" w:hAnsi="Symbol"/>
      </w:rPr>
    </w:lvl>
    <w:lvl w:ilvl="7">
      <w:numFmt w:val="bullet"/>
      <w:lvlText w:val="o"/>
      <w:lvlJc w:val="left"/>
      <w:pPr>
        <w:ind w:left="6525" w:hanging="360"/>
      </w:pPr>
      <w:rPr>
        <w:rFonts w:ascii="Courier New" w:hAnsi="Courier New" w:cs="Courier New"/>
      </w:rPr>
    </w:lvl>
    <w:lvl w:ilvl="8">
      <w:numFmt w:val="bullet"/>
      <w:lvlText w:val=""/>
      <w:lvlJc w:val="left"/>
      <w:pPr>
        <w:ind w:left="7245" w:hanging="360"/>
      </w:pPr>
      <w:rPr>
        <w:rFonts w:ascii="Wingdings" w:hAnsi="Wingdings"/>
      </w:rPr>
    </w:lvl>
  </w:abstractNum>
  <w:abstractNum w:abstractNumId="19" w15:restartNumberingAfterBreak="0">
    <w:nsid w:val="5C3812FF"/>
    <w:multiLevelType w:val="multilevel"/>
    <w:tmpl w:val="D6E2165E"/>
    <w:lvl w:ilvl="0">
      <w:numFmt w:val="bullet"/>
      <w:lvlText w:val=""/>
      <w:lvlJc w:val="left"/>
      <w:pPr>
        <w:ind w:left="1288" w:hanging="360"/>
      </w:pPr>
      <w:rPr>
        <w:rFonts w:ascii="Symbol" w:hAnsi="Symbol"/>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rPr>
    </w:lvl>
    <w:lvl w:ilvl="3">
      <w:numFmt w:val="bullet"/>
      <w:lvlText w:val=""/>
      <w:lvlJc w:val="left"/>
      <w:pPr>
        <w:ind w:left="3448" w:hanging="360"/>
      </w:pPr>
      <w:rPr>
        <w:rFonts w:ascii="Symbol" w:hAnsi="Symbol"/>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rPr>
    </w:lvl>
    <w:lvl w:ilvl="6">
      <w:numFmt w:val="bullet"/>
      <w:lvlText w:val=""/>
      <w:lvlJc w:val="left"/>
      <w:pPr>
        <w:ind w:left="5608" w:hanging="360"/>
      </w:pPr>
      <w:rPr>
        <w:rFonts w:ascii="Symbol" w:hAnsi="Symbol"/>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rPr>
    </w:lvl>
  </w:abstractNum>
  <w:abstractNum w:abstractNumId="20" w15:restartNumberingAfterBreak="0">
    <w:nsid w:val="6178740D"/>
    <w:multiLevelType w:val="multilevel"/>
    <w:tmpl w:val="B5AAE67C"/>
    <w:lvl w:ilvl="0">
      <w:numFmt w:val="bullet"/>
      <w:lvlText w:val=""/>
      <w:lvlJc w:val="left"/>
      <w:pPr>
        <w:ind w:left="1429" w:hanging="360"/>
      </w:pPr>
      <w:rPr>
        <w:rFonts w:ascii="Wingdings 2" w:hAnsi="Wingdings 2"/>
        <w:sz w:val="10"/>
        <w:szCs w:val="1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61F82C00"/>
    <w:multiLevelType w:val="multilevel"/>
    <w:tmpl w:val="78688C44"/>
    <w:lvl w:ilvl="0">
      <w:start w:val="1"/>
      <w:numFmt w:val="decimal"/>
      <w:lvlText w:val="%1."/>
      <w:lvlJc w:val="left"/>
      <w:pPr>
        <w:ind w:left="720" w:hanging="360"/>
      </w:pPr>
    </w:lvl>
    <w:lvl w:ilvl="1">
      <w:start w:val="6"/>
      <w:numFmt w:val="decimal"/>
      <w:lvlText w:val="%1.%2."/>
      <w:lvlJc w:val="left"/>
      <w:pPr>
        <w:ind w:left="936" w:hanging="360"/>
      </w:pPr>
    </w:lvl>
    <w:lvl w:ilvl="2">
      <w:start w:val="1"/>
      <w:numFmt w:val="decimal"/>
      <w:lvlText w:val="%1.%2.%3."/>
      <w:lvlJc w:val="left"/>
      <w:pPr>
        <w:ind w:left="1512" w:hanging="720"/>
      </w:pPr>
    </w:lvl>
    <w:lvl w:ilvl="3">
      <w:start w:val="1"/>
      <w:numFmt w:val="decimal"/>
      <w:lvlText w:val="%1.%2.%3.%4."/>
      <w:lvlJc w:val="left"/>
      <w:pPr>
        <w:ind w:left="1728" w:hanging="720"/>
      </w:pPr>
    </w:lvl>
    <w:lvl w:ilvl="4">
      <w:start w:val="1"/>
      <w:numFmt w:val="decimal"/>
      <w:lvlText w:val="%1.%2.%3.%4.%5."/>
      <w:lvlJc w:val="left"/>
      <w:pPr>
        <w:ind w:left="2304" w:hanging="1080"/>
      </w:pPr>
    </w:lvl>
    <w:lvl w:ilvl="5">
      <w:start w:val="1"/>
      <w:numFmt w:val="decimal"/>
      <w:lvlText w:val="%1.%2.%3.%4.%5.%6."/>
      <w:lvlJc w:val="left"/>
      <w:pPr>
        <w:ind w:left="2520" w:hanging="1080"/>
      </w:pPr>
    </w:lvl>
    <w:lvl w:ilvl="6">
      <w:start w:val="1"/>
      <w:numFmt w:val="decimal"/>
      <w:lvlText w:val="%1.%2.%3.%4.%5.%6.%7."/>
      <w:lvlJc w:val="left"/>
      <w:pPr>
        <w:ind w:left="3096" w:hanging="1440"/>
      </w:pPr>
    </w:lvl>
    <w:lvl w:ilvl="7">
      <w:start w:val="1"/>
      <w:numFmt w:val="decimal"/>
      <w:lvlText w:val="%1.%2.%3.%4.%5.%6.%7.%8."/>
      <w:lvlJc w:val="left"/>
      <w:pPr>
        <w:ind w:left="3312" w:hanging="1440"/>
      </w:pPr>
    </w:lvl>
    <w:lvl w:ilvl="8">
      <w:start w:val="1"/>
      <w:numFmt w:val="decimal"/>
      <w:lvlText w:val="%1.%2.%3.%4.%5.%6.%7.%8.%9."/>
      <w:lvlJc w:val="left"/>
      <w:pPr>
        <w:ind w:left="3888" w:hanging="1800"/>
      </w:pPr>
    </w:lvl>
  </w:abstractNum>
  <w:abstractNum w:abstractNumId="22" w15:restartNumberingAfterBreak="0">
    <w:nsid w:val="62103E83"/>
    <w:multiLevelType w:val="multilevel"/>
    <w:tmpl w:val="CEF8BE20"/>
    <w:styleLink w:val="LFO6"/>
    <w:lvl w:ilvl="0">
      <w:numFmt w:val="bullet"/>
      <w:pStyle w:val="avg-"/>
      <w:lvlText w:val=""/>
      <w:lvlJc w:val="left"/>
      <w:pPr>
        <w:ind w:left="680" w:hanging="396"/>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AB01DAC"/>
    <w:multiLevelType w:val="multilevel"/>
    <w:tmpl w:val="FE8622BA"/>
    <w:lvl w:ilvl="0">
      <w:numFmt w:val="bullet"/>
      <w:lvlText w:val=""/>
      <w:lvlJc w:val="left"/>
      <w:pPr>
        <w:ind w:left="1048" w:hanging="340"/>
      </w:pPr>
      <w:rPr>
        <w:rFonts w:ascii="Symbol" w:hAnsi="Symbol"/>
      </w:rPr>
    </w:lvl>
    <w:lvl w:ilvl="1">
      <w:start w:val="1"/>
      <w:numFmt w:val="decimal"/>
      <w:lvlText w:val="%2."/>
      <w:lvlJc w:val="left"/>
      <w:pPr>
        <w:ind w:left="1581" w:hanging="360"/>
      </w:pPr>
    </w:lvl>
    <w:lvl w:ilvl="2">
      <w:numFmt w:val="bullet"/>
      <w:lvlText w:val="-"/>
      <w:lvlJc w:val="left"/>
      <w:pPr>
        <w:ind w:left="2301" w:hanging="360"/>
      </w:pPr>
      <w:rPr>
        <w:rFonts w:ascii="Times New Roman" w:eastAsia="Calibri" w:hAnsi="Times New Roman" w:cs="Times New Roman"/>
      </w:rPr>
    </w:lvl>
    <w:lvl w:ilvl="3">
      <w:numFmt w:val="bullet"/>
      <w:lvlText w:val=""/>
      <w:lvlJc w:val="left"/>
      <w:pPr>
        <w:ind w:left="3021" w:hanging="360"/>
      </w:pPr>
      <w:rPr>
        <w:rFonts w:ascii="Symbol" w:hAnsi="Symbol"/>
      </w:rPr>
    </w:lvl>
    <w:lvl w:ilvl="4">
      <w:numFmt w:val="bullet"/>
      <w:lvlText w:val="o"/>
      <w:lvlJc w:val="left"/>
      <w:pPr>
        <w:ind w:left="3741" w:hanging="360"/>
      </w:pPr>
      <w:rPr>
        <w:rFonts w:ascii="Courier New" w:hAnsi="Courier New"/>
      </w:rPr>
    </w:lvl>
    <w:lvl w:ilvl="5">
      <w:numFmt w:val="bullet"/>
      <w:lvlText w:val=""/>
      <w:lvlJc w:val="left"/>
      <w:pPr>
        <w:ind w:left="4461" w:hanging="360"/>
      </w:pPr>
      <w:rPr>
        <w:rFonts w:ascii="Wingdings" w:hAnsi="Wingdings"/>
      </w:rPr>
    </w:lvl>
    <w:lvl w:ilvl="6">
      <w:numFmt w:val="bullet"/>
      <w:lvlText w:val=""/>
      <w:lvlJc w:val="left"/>
      <w:pPr>
        <w:ind w:left="5181" w:hanging="360"/>
      </w:pPr>
      <w:rPr>
        <w:rFonts w:ascii="Symbol" w:hAnsi="Symbol"/>
      </w:rPr>
    </w:lvl>
    <w:lvl w:ilvl="7">
      <w:numFmt w:val="bullet"/>
      <w:lvlText w:val="o"/>
      <w:lvlJc w:val="left"/>
      <w:pPr>
        <w:ind w:left="5901" w:hanging="360"/>
      </w:pPr>
      <w:rPr>
        <w:rFonts w:ascii="Courier New" w:hAnsi="Courier New"/>
      </w:rPr>
    </w:lvl>
    <w:lvl w:ilvl="8">
      <w:numFmt w:val="bullet"/>
      <w:lvlText w:val=""/>
      <w:lvlJc w:val="left"/>
      <w:pPr>
        <w:ind w:left="6621" w:hanging="360"/>
      </w:pPr>
      <w:rPr>
        <w:rFonts w:ascii="Wingdings" w:hAnsi="Wingdings"/>
      </w:rPr>
    </w:lvl>
  </w:abstractNum>
  <w:abstractNum w:abstractNumId="24" w15:restartNumberingAfterBreak="0">
    <w:nsid w:val="6ED116EB"/>
    <w:multiLevelType w:val="multilevel"/>
    <w:tmpl w:val="F44221FA"/>
    <w:styleLink w:val="WWOutlineListStyle"/>
    <w:lvl w:ilvl="0">
      <w:start w:val="1"/>
      <w:numFmt w:val="decimal"/>
      <w:lvlText w:val="%1"/>
      <w:lvlJc w:val="left"/>
      <w:pPr>
        <w:ind w:left="432" w:hanging="432"/>
      </w:pPr>
    </w:lvl>
    <w:lvl w:ilvl="1">
      <w:start w:val="1"/>
      <w:numFmt w:val="decimal"/>
      <w:lvlText w:val="%1.%2"/>
      <w:lvlJc w:val="left"/>
      <w:pPr>
        <w:ind w:left="576" w:hanging="576"/>
      </w:pPr>
      <w:rPr>
        <w:b/>
        <w:lang w:val="ru-RU"/>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407718A"/>
    <w:multiLevelType w:val="multilevel"/>
    <w:tmpl w:val="FAD2D8FE"/>
    <w:lvl w:ilvl="0">
      <w:start w:val="1"/>
      <w:numFmt w:val="decimal"/>
      <w:lvlText w:val="%1."/>
      <w:lvlJc w:val="left"/>
      <w:pPr>
        <w:ind w:left="158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4CF6CED"/>
    <w:multiLevelType w:val="multilevel"/>
    <w:tmpl w:val="F998E9FE"/>
    <w:lvl w:ilvl="0">
      <w:start w:val="1"/>
      <w:numFmt w:val="decimal"/>
      <w:lvlText w:val="%1."/>
      <w:lvlJc w:val="left"/>
      <w:pPr>
        <w:ind w:left="936" w:hanging="360"/>
      </w:pPr>
    </w:lvl>
    <w:lvl w:ilvl="1">
      <w:start w:val="1"/>
      <w:numFmt w:val="decimal"/>
      <w:lvlText w:val="%1.%2."/>
      <w:lvlJc w:val="left"/>
      <w:pPr>
        <w:ind w:left="1356" w:hanging="360"/>
      </w:pPr>
    </w:lvl>
    <w:lvl w:ilvl="2">
      <w:start w:val="1"/>
      <w:numFmt w:val="decimal"/>
      <w:lvlText w:val="%1.%2.%3."/>
      <w:lvlJc w:val="left"/>
      <w:pPr>
        <w:ind w:left="2136" w:hanging="720"/>
      </w:pPr>
    </w:lvl>
    <w:lvl w:ilvl="3">
      <w:start w:val="1"/>
      <w:numFmt w:val="decimal"/>
      <w:lvlText w:val="%1.%2.%3.%4."/>
      <w:lvlJc w:val="left"/>
      <w:pPr>
        <w:ind w:left="2556" w:hanging="720"/>
      </w:pPr>
    </w:lvl>
    <w:lvl w:ilvl="4">
      <w:start w:val="1"/>
      <w:numFmt w:val="decimal"/>
      <w:lvlText w:val="%1.%2.%3.%4.%5."/>
      <w:lvlJc w:val="left"/>
      <w:pPr>
        <w:ind w:left="3336" w:hanging="1080"/>
      </w:pPr>
    </w:lvl>
    <w:lvl w:ilvl="5">
      <w:start w:val="1"/>
      <w:numFmt w:val="decimal"/>
      <w:lvlText w:val="%1.%2.%3.%4.%5.%6."/>
      <w:lvlJc w:val="left"/>
      <w:pPr>
        <w:ind w:left="3756" w:hanging="1080"/>
      </w:pPr>
    </w:lvl>
    <w:lvl w:ilvl="6">
      <w:start w:val="1"/>
      <w:numFmt w:val="decimal"/>
      <w:lvlText w:val="%1.%2.%3.%4.%5.%6.%7."/>
      <w:lvlJc w:val="left"/>
      <w:pPr>
        <w:ind w:left="4536" w:hanging="1440"/>
      </w:pPr>
    </w:lvl>
    <w:lvl w:ilvl="7">
      <w:start w:val="1"/>
      <w:numFmt w:val="decimal"/>
      <w:lvlText w:val="%1.%2.%3.%4.%5.%6.%7.%8."/>
      <w:lvlJc w:val="left"/>
      <w:pPr>
        <w:ind w:left="4956" w:hanging="1440"/>
      </w:pPr>
    </w:lvl>
    <w:lvl w:ilvl="8">
      <w:start w:val="1"/>
      <w:numFmt w:val="decimal"/>
      <w:lvlText w:val="%1.%2.%3.%4.%5.%6.%7.%8.%9."/>
      <w:lvlJc w:val="left"/>
      <w:pPr>
        <w:ind w:left="5736" w:hanging="1800"/>
      </w:pPr>
    </w:lvl>
  </w:abstractNum>
  <w:abstractNum w:abstractNumId="27" w15:restartNumberingAfterBreak="0">
    <w:nsid w:val="75DF3090"/>
    <w:multiLevelType w:val="multilevel"/>
    <w:tmpl w:val="8EF852E8"/>
    <w:styleLink w:val="LFO66"/>
    <w:lvl w:ilvl="0">
      <w:numFmt w:val="bullet"/>
      <w:pStyle w:val="10"/>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771372C7"/>
    <w:multiLevelType w:val="multilevel"/>
    <w:tmpl w:val="0F50CB32"/>
    <w:styleLink w:val="a0"/>
    <w:lvl w:ilvl="0">
      <w:start w:val="1"/>
      <w:numFmt w:val="upperRoman"/>
      <w:lvlText w:val="%1."/>
      <w:lvlJc w:val="right"/>
      <w:pPr>
        <w:ind w:left="720" w:hanging="360"/>
      </w:pPr>
      <w:rPr>
        <w:rFonts w:cs="Times New Roman"/>
        <w:color w:val="auto"/>
      </w:rPr>
    </w:lvl>
    <w:lvl w:ilvl="1">
      <w:start w:val="1"/>
      <w:numFmt w:val="decimal"/>
      <w:lvlText w:val="%1.%2."/>
      <w:lvlJc w:val="left"/>
      <w:pPr>
        <w:ind w:left="1200" w:hanging="72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32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160" w:hanging="1800"/>
      </w:pPr>
      <w:rPr>
        <w:rFonts w:cs="Times New Roman"/>
      </w:rPr>
    </w:lvl>
  </w:abstractNum>
  <w:abstractNum w:abstractNumId="29" w15:restartNumberingAfterBreak="0">
    <w:nsid w:val="78006735"/>
    <w:multiLevelType w:val="multilevel"/>
    <w:tmpl w:val="68748736"/>
    <w:styleLink w:val="11"/>
    <w:lvl w:ilvl="0">
      <w:numFmt w:val="bullet"/>
      <w:lvlText w:val="-"/>
      <w:lvlJc w:val="left"/>
      <w:pPr>
        <w:ind w:left="1440" w:hanging="360"/>
      </w:pPr>
      <w:rPr>
        <w:rFonts w:ascii="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0" w15:restartNumberingAfterBreak="0">
    <w:nsid w:val="79B016D9"/>
    <w:multiLevelType w:val="multilevel"/>
    <w:tmpl w:val="918E62D4"/>
    <w:styleLink w:val="12"/>
    <w:lvl w:ilvl="0">
      <w:start w:val="1"/>
      <w:numFmt w:val="decimal"/>
      <w:lvlText w:val="%1."/>
      <w:lvlJc w:val="right"/>
      <w:pPr>
        <w:ind w:left="720" w:hanging="360"/>
      </w:pPr>
      <w:rPr>
        <w:rFonts w:cs="Times New Roman"/>
        <w:color w:val="auto"/>
      </w:rPr>
    </w:lvl>
    <w:lvl w:ilvl="1">
      <w:start w:val="1"/>
      <w:numFmt w:val="decimal"/>
      <w:lvlText w:val="%1.%2."/>
      <w:lvlJc w:val="left"/>
      <w:pPr>
        <w:ind w:left="1080" w:hanging="72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1364"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160" w:hanging="1800"/>
      </w:pPr>
      <w:rPr>
        <w:rFonts w:cs="Times New Roman"/>
      </w:rPr>
    </w:lvl>
  </w:abstractNum>
  <w:abstractNum w:abstractNumId="31" w15:restartNumberingAfterBreak="0">
    <w:nsid w:val="7AA60055"/>
    <w:multiLevelType w:val="multilevel"/>
    <w:tmpl w:val="E5FA237E"/>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32" w15:restartNumberingAfterBreak="0">
    <w:nsid w:val="7E6656F5"/>
    <w:multiLevelType w:val="multilevel"/>
    <w:tmpl w:val="90D26D94"/>
    <w:styleLink w:val="WW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9"/>
  </w:num>
  <w:num w:numId="2">
    <w:abstractNumId w:val="14"/>
  </w:num>
  <w:num w:numId="3">
    <w:abstractNumId w:val="28"/>
  </w:num>
  <w:num w:numId="4">
    <w:abstractNumId w:val="30"/>
  </w:num>
  <w:num w:numId="5">
    <w:abstractNumId w:val="24"/>
  </w:num>
  <w:num w:numId="6">
    <w:abstractNumId w:val="29"/>
  </w:num>
  <w:num w:numId="7">
    <w:abstractNumId w:val="16"/>
  </w:num>
  <w:num w:numId="8">
    <w:abstractNumId w:val="4"/>
  </w:num>
  <w:num w:numId="9">
    <w:abstractNumId w:val="32"/>
  </w:num>
  <w:num w:numId="10">
    <w:abstractNumId w:val="6"/>
  </w:num>
  <w:num w:numId="11">
    <w:abstractNumId w:val="1"/>
  </w:num>
  <w:num w:numId="12">
    <w:abstractNumId w:val="22"/>
  </w:num>
  <w:num w:numId="13">
    <w:abstractNumId w:val="7"/>
  </w:num>
  <w:num w:numId="14">
    <w:abstractNumId w:val="18"/>
  </w:num>
  <w:num w:numId="15">
    <w:abstractNumId w:val="11"/>
  </w:num>
  <w:num w:numId="16">
    <w:abstractNumId w:val="27"/>
  </w:num>
  <w:num w:numId="17">
    <w:abstractNumId w:val="26"/>
  </w:num>
  <w:num w:numId="18">
    <w:abstractNumId w:val="3"/>
  </w:num>
  <w:num w:numId="19">
    <w:abstractNumId w:val="10"/>
  </w:num>
  <w:num w:numId="20">
    <w:abstractNumId w:val="0"/>
  </w:num>
  <w:num w:numId="21">
    <w:abstractNumId w:val="13"/>
  </w:num>
  <w:num w:numId="22">
    <w:abstractNumId w:val="21"/>
  </w:num>
  <w:num w:numId="23">
    <w:abstractNumId w:val="17"/>
  </w:num>
  <w:num w:numId="24">
    <w:abstractNumId w:val="23"/>
  </w:num>
  <w:num w:numId="25">
    <w:abstractNumId w:val="19"/>
  </w:num>
  <w:num w:numId="26">
    <w:abstractNumId w:val="8"/>
  </w:num>
  <w:num w:numId="27">
    <w:abstractNumId w:val="12"/>
  </w:num>
  <w:num w:numId="28">
    <w:abstractNumId w:val="31"/>
  </w:num>
  <w:num w:numId="29">
    <w:abstractNumId w:val="25"/>
  </w:num>
  <w:num w:numId="30">
    <w:abstractNumId w:val="5"/>
  </w:num>
  <w:num w:numId="31">
    <w:abstractNumId w:val="15"/>
  </w:num>
  <w:num w:numId="32">
    <w:abstractNumId w:val="2"/>
  </w:num>
  <w:num w:numId="33">
    <w:abstractNumId w:val="20"/>
  </w:num>
  <w:num w:numId="34">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E85D42"/>
    <w:rsid w:val="008113B9"/>
    <w:rsid w:val="00E85D42"/>
    <w:rsid w:val="00FD0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8B105-C3C0-4624-BAFB-CF72571C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pPr>
      <w:suppressAutoHyphens/>
      <w:spacing w:after="0" w:line="240" w:lineRule="auto"/>
    </w:pPr>
    <w:rPr>
      <w:rFonts w:ascii="Times New Roman" w:eastAsia="Times New Roman" w:hAnsi="Times New Roman"/>
      <w:sz w:val="20"/>
      <w:szCs w:val="20"/>
      <w:lang w:eastAsia="ru-RU"/>
    </w:rPr>
  </w:style>
  <w:style w:type="paragraph" w:styleId="13">
    <w:name w:val="heading 1"/>
    <w:basedOn w:val="a1"/>
    <w:next w:val="a1"/>
    <w:pPr>
      <w:keepNext/>
      <w:keepLines/>
      <w:spacing w:before="480" w:after="240"/>
      <w:jc w:val="both"/>
      <w:outlineLvl w:val="0"/>
    </w:pPr>
    <w:rPr>
      <w:rFonts w:ascii="Cambria" w:hAnsi="Cambria"/>
      <w:b/>
      <w:bCs/>
      <w:color w:val="C00000"/>
      <w:sz w:val="32"/>
      <w:szCs w:val="28"/>
    </w:rPr>
  </w:style>
  <w:style w:type="paragraph" w:styleId="2">
    <w:name w:val="heading 2"/>
    <w:basedOn w:val="a1"/>
    <w:next w:val="a1"/>
    <w:pPr>
      <w:keepNext/>
      <w:numPr>
        <w:ilvl w:val="1"/>
        <w:numId w:val="1"/>
      </w:numPr>
      <w:spacing w:before="120" w:after="120"/>
      <w:outlineLvl w:val="1"/>
    </w:pPr>
    <w:rPr>
      <w:rFonts w:ascii="Cambria" w:hAnsi="Cambria"/>
      <w:color w:val="365F91"/>
      <w:sz w:val="26"/>
      <w:szCs w:val="26"/>
    </w:rPr>
  </w:style>
  <w:style w:type="paragraph" w:styleId="3">
    <w:name w:val="heading 3"/>
    <w:basedOn w:val="a1"/>
    <w:next w:val="a1"/>
    <w:pPr>
      <w:keepNext/>
      <w:numPr>
        <w:ilvl w:val="2"/>
        <w:numId w:val="1"/>
      </w:numPr>
      <w:spacing w:before="120" w:after="120"/>
      <w:jc w:val="both"/>
      <w:outlineLvl w:val="2"/>
    </w:pPr>
    <w:rPr>
      <w:rFonts w:ascii="Cambria" w:hAnsi="Cambria"/>
      <w:color w:val="243F60"/>
    </w:rPr>
  </w:style>
  <w:style w:type="paragraph" w:styleId="4">
    <w:name w:val="heading 4"/>
    <w:basedOn w:val="a1"/>
    <w:next w:val="a1"/>
    <w:pPr>
      <w:keepNext/>
      <w:numPr>
        <w:ilvl w:val="3"/>
        <w:numId w:val="1"/>
      </w:numPr>
      <w:spacing w:before="60" w:after="60"/>
      <w:jc w:val="both"/>
      <w:outlineLvl w:val="3"/>
    </w:pPr>
    <w:rPr>
      <w:rFonts w:ascii="Cambria" w:hAnsi="Cambria"/>
      <w:i/>
      <w:iCs/>
      <w:color w:val="365F91"/>
    </w:rPr>
  </w:style>
  <w:style w:type="paragraph" w:styleId="5">
    <w:name w:val="heading 5"/>
    <w:basedOn w:val="a1"/>
    <w:next w:val="a1"/>
    <w:pPr>
      <w:keepNext/>
      <w:keepLines/>
      <w:spacing w:before="200"/>
      <w:ind w:firstLine="709"/>
      <w:jc w:val="both"/>
      <w:outlineLvl w:val="4"/>
    </w:pPr>
    <w:rPr>
      <w:rFonts w:ascii="Cambria" w:hAnsi="Cambria"/>
      <w:b/>
      <w:sz w:val="28"/>
      <w:szCs w:val="24"/>
      <w:u w:val="single"/>
    </w:rPr>
  </w:style>
  <w:style w:type="paragraph" w:styleId="6">
    <w:name w:val="heading 6"/>
    <w:basedOn w:val="a1"/>
    <w:next w:val="a1"/>
    <w:pPr>
      <w:keepNext/>
      <w:keepLines/>
      <w:spacing w:before="200"/>
      <w:ind w:firstLine="709"/>
      <w:jc w:val="both"/>
      <w:outlineLvl w:val="5"/>
    </w:pPr>
    <w:rPr>
      <w:rFonts w:ascii="Cambria" w:hAnsi="Cambria"/>
      <w:i/>
      <w:iCs/>
      <w:color w:val="243F60"/>
      <w:sz w:val="28"/>
      <w:szCs w:val="24"/>
    </w:rPr>
  </w:style>
  <w:style w:type="paragraph" w:styleId="7">
    <w:name w:val="heading 7"/>
    <w:basedOn w:val="a1"/>
    <w:next w:val="a1"/>
    <w:pPr>
      <w:keepNext/>
      <w:keepLines/>
      <w:spacing w:before="200"/>
      <w:ind w:firstLine="709"/>
      <w:jc w:val="both"/>
      <w:outlineLvl w:val="6"/>
    </w:pPr>
    <w:rPr>
      <w:rFonts w:ascii="Cambria" w:hAnsi="Cambria"/>
      <w:i/>
      <w:iCs/>
      <w:color w:val="404040"/>
      <w:sz w:val="28"/>
      <w:szCs w:val="24"/>
    </w:rPr>
  </w:style>
  <w:style w:type="paragraph" w:styleId="8">
    <w:name w:val="heading 8"/>
    <w:basedOn w:val="a1"/>
    <w:next w:val="a1"/>
    <w:pPr>
      <w:keepNext/>
      <w:keepLines/>
      <w:spacing w:before="200"/>
      <w:ind w:firstLine="709"/>
      <w:jc w:val="both"/>
      <w:outlineLvl w:val="7"/>
    </w:pPr>
    <w:rPr>
      <w:rFonts w:ascii="Cambria" w:hAnsi="Cambria"/>
      <w:color w:val="404040"/>
    </w:rPr>
  </w:style>
  <w:style w:type="paragraph" w:styleId="9">
    <w:name w:val="heading 9"/>
    <w:basedOn w:val="a1"/>
    <w:next w:val="a1"/>
    <w:pPr>
      <w:keepNext/>
      <w:keepLines/>
      <w:spacing w:before="200"/>
      <w:ind w:firstLine="709"/>
      <w:jc w:val="both"/>
      <w:outlineLvl w:val="8"/>
    </w:pPr>
    <w:rPr>
      <w:rFonts w:ascii="Cambria" w:hAnsi="Cambria"/>
      <w:i/>
      <w:iCs/>
      <w:color w:val="40404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WWOutlineListStyle1">
    <w:name w:val="WW_OutlineListStyle_1"/>
    <w:basedOn w:val="a4"/>
    <w:pPr>
      <w:numPr>
        <w:numId w:val="1"/>
      </w:numPr>
    </w:pPr>
  </w:style>
  <w:style w:type="character" w:customStyle="1" w:styleId="20">
    <w:name w:val="Заголовок 2 Знак"/>
    <w:basedOn w:val="a2"/>
    <w:rPr>
      <w:rFonts w:ascii="Cambria" w:eastAsia="Times New Roman" w:hAnsi="Cambria" w:cs="Times New Roman"/>
      <w:color w:val="365F91"/>
      <w:sz w:val="26"/>
      <w:szCs w:val="26"/>
      <w:lang w:eastAsia="ru-RU"/>
    </w:rPr>
  </w:style>
  <w:style w:type="character" w:customStyle="1" w:styleId="30">
    <w:name w:val="Заголовок 3 Знак"/>
    <w:basedOn w:val="a2"/>
    <w:rPr>
      <w:rFonts w:ascii="Cambria" w:eastAsia="Times New Roman" w:hAnsi="Cambria" w:cs="Times New Roman"/>
      <w:color w:val="243F60"/>
      <w:sz w:val="20"/>
      <w:szCs w:val="20"/>
      <w:lang w:eastAsia="ru-RU"/>
    </w:rPr>
  </w:style>
  <w:style w:type="character" w:customStyle="1" w:styleId="40">
    <w:name w:val="Заголовок 4 Знак"/>
    <w:basedOn w:val="a2"/>
    <w:rPr>
      <w:rFonts w:ascii="Cambria" w:eastAsia="Times New Roman" w:hAnsi="Cambria" w:cs="Times New Roman"/>
      <w:i/>
      <w:iCs/>
      <w:color w:val="365F91"/>
      <w:sz w:val="20"/>
      <w:szCs w:val="20"/>
      <w:lang w:eastAsia="ru-RU"/>
    </w:rPr>
  </w:style>
  <w:style w:type="paragraph" w:styleId="14">
    <w:name w:val="toc 1"/>
    <w:basedOn w:val="a1"/>
    <w:next w:val="a1"/>
    <w:autoRedefine/>
    <w:pPr>
      <w:tabs>
        <w:tab w:val="right" w:leader="dot" w:pos="9900"/>
      </w:tabs>
      <w:spacing w:before="120" w:after="120"/>
    </w:pPr>
    <w:rPr>
      <w:b/>
      <w:bCs/>
      <w:caps/>
    </w:rPr>
  </w:style>
  <w:style w:type="paragraph" w:styleId="21">
    <w:name w:val="toc 2"/>
    <w:basedOn w:val="a1"/>
    <w:next w:val="a1"/>
    <w:autoRedefine/>
    <w:pPr>
      <w:ind w:left="200"/>
    </w:pPr>
    <w:rPr>
      <w:smallCaps/>
    </w:rPr>
  </w:style>
  <w:style w:type="paragraph" w:styleId="41">
    <w:name w:val="toc 4"/>
    <w:basedOn w:val="a1"/>
    <w:next w:val="a1"/>
    <w:autoRedefine/>
    <w:pPr>
      <w:ind w:left="600"/>
    </w:pPr>
    <w:rPr>
      <w:sz w:val="18"/>
      <w:szCs w:val="18"/>
    </w:rPr>
  </w:style>
  <w:style w:type="character" w:styleId="a5">
    <w:name w:val="Hyperlink"/>
    <w:rPr>
      <w:color w:val="0000FF"/>
      <w:u w:val="single"/>
    </w:rPr>
  </w:style>
  <w:style w:type="paragraph" w:styleId="a6">
    <w:name w:val="Normal (Web)"/>
    <w:basedOn w:val="a1"/>
    <w:pPr>
      <w:widowControl w:val="0"/>
      <w:spacing w:line="278" w:lineRule="auto"/>
      <w:ind w:left="80" w:firstLine="560"/>
      <w:jc w:val="both"/>
    </w:pPr>
    <w:rPr>
      <w:sz w:val="24"/>
      <w:szCs w:val="24"/>
    </w:rPr>
  </w:style>
  <w:style w:type="character" w:customStyle="1" w:styleId="15">
    <w:name w:val="Заголовок 1 Знак"/>
    <w:basedOn w:val="a2"/>
    <w:rPr>
      <w:rFonts w:ascii="Cambria" w:eastAsia="Times New Roman" w:hAnsi="Cambria" w:cs="Times New Roman"/>
      <w:b/>
      <w:bCs/>
      <w:color w:val="C00000"/>
      <w:sz w:val="32"/>
      <w:szCs w:val="28"/>
      <w:lang w:eastAsia="ru-RU"/>
    </w:rPr>
  </w:style>
  <w:style w:type="character" w:customStyle="1" w:styleId="50">
    <w:name w:val="Заголовок 5 Знак"/>
    <w:basedOn w:val="a2"/>
    <w:rPr>
      <w:rFonts w:ascii="Cambria" w:eastAsia="Times New Roman" w:hAnsi="Cambria" w:cs="Times New Roman"/>
      <w:b/>
      <w:sz w:val="28"/>
      <w:szCs w:val="24"/>
      <w:u w:val="single"/>
      <w:lang w:eastAsia="ru-RU"/>
    </w:rPr>
  </w:style>
  <w:style w:type="character" w:customStyle="1" w:styleId="60">
    <w:name w:val="Заголовок 6 Знак"/>
    <w:basedOn w:val="a2"/>
    <w:rPr>
      <w:rFonts w:ascii="Cambria" w:eastAsia="Times New Roman" w:hAnsi="Cambria" w:cs="Times New Roman"/>
      <w:i/>
      <w:iCs/>
      <w:color w:val="243F60"/>
      <w:sz w:val="28"/>
      <w:szCs w:val="24"/>
      <w:lang w:eastAsia="ru-RU"/>
    </w:rPr>
  </w:style>
  <w:style w:type="character" w:customStyle="1" w:styleId="70">
    <w:name w:val="Заголовок 7 Знак"/>
    <w:basedOn w:val="a2"/>
    <w:rPr>
      <w:rFonts w:ascii="Cambria" w:eastAsia="Times New Roman" w:hAnsi="Cambria" w:cs="Times New Roman"/>
      <w:i/>
      <w:iCs/>
      <w:color w:val="404040"/>
      <w:sz w:val="28"/>
      <w:szCs w:val="24"/>
      <w:lang w:eastAsia="ru-RU"/>
    </w:rPr>
  </w:style>
  <w:style w:type="character" w:customStyle="1" w:styleId="80">
    <w:name w:val="Заголовок 8 Знак"/>
    <w:basedOn w:val="a2"/>
    <w:rPr>
      <w:rFonts w:ascii="Cambria" w:eastAsia="Times New Roman" w:hAnsi="Cambria" w:cs="Times New Roman"/>
      <w:color w:val="404040"/>
      <w:sz w:val="20"/>
      <w:szCs w:val="20"/>
      <w:lang w:eastAsia="ru-RU"/>
    </w:rPr>
  </w:style>
  <w:style w:type="character" w:customStyle="1" w:styleId="90">
    <w:name w:val="Заголовок 9 Знак"/>
    <w:basedOn w:val="a2"/>
    <w:rPr>
      <w:rFonts w:ascii="Cambria" w:eastAsia="Times New Roman" w:hAnsi="Cambria" w:cs="Times New Roman"/>
      <w:i/>
      <w:iCs/>
      <w:color w:val="404040"/>
      <w:sz w:val="20"/>
      <w:szCs w:val="20"/>
      <w:lang w:eastAsia="ru-RU"/>
    </w:rPr>
  </w:style>
  <w:style w:type="paragraph" w:styleId="a7">
    <w:name w:val="Body Text"/>
    <w:basedOn w:val="a1"/>
    <w:pPr>
      <w:spacing w:after="120"/>
      <w:ind w:firstLine="709"/>
      <w:jc w:val="both"/>
    </w:pPr>
    <w:rPr>
      <w:sz w:val="28"/>
      <w:szCs w:val="24"/>
    </w:rPr>
  </w:style>
  <w:style w:type="character" w:customStyle="1" w:styleId="a8">
    <w:name w:val="Основной текст Знак"/>
    <w:basedOn w:val="a2"/>
    <w:rPr>
      <w:rFonts w:ascii="Times New Roman" w:eastAsia="Times New Roman" w:hAnsi="Times New Roman" w:cs="Times New Roman"/>
      <w:sz w:val="28"/>
      <w:szCs w:val="24"/>
      <w:lang w:eastAsia="ru-RU"/>
    </w:rPr>
  </w:style>
  <w:style w:type="paragraph" w:styleId="31">
    <w:name w:val="Body Text Indent 3"/>
    <w:basedOn w:val="a1"/>
    <w:pPr>
      <w:ind w:firstLine="720"/>
      <w:jc w:val="both"/>
    </w:pPr>
    <w:rPr>
      <w:b/>
      <w:bCs/>
      <w:sz w:val="28"/>
      <w:szCs w:val="24"/>
    </w:rPr>
  </w:style>
  <w:style w:type="character" w:customStyle="1" w:styleId="32">
    <w:name w:val="Основной текст с отступом 3 Знак"/>
    <w:basedOn w:val="a2"/>
    <w:rPr>
      <w:rFonts w:ascii="Times New Roman" w:eastAsia="Times New Roman" w:hAnsi="Times New Roman" w:cs="Times New Roman"/>
      <w:b/>
      <w:bCs/>
      <w:sz w:val="28"/>
      <w:szCs w:val="24"/>
      <w:lang w:eastAsia="ru-RU"/>
    </w:rPr>
  </w:style>
  <w:style w:type="paragraph" w:styleId="a9">
    <w:name w:val="Document Map"/>
    <w:basedOn w:val="a1"/>
    <w:pPr>
      <w:ind w:firstLine="709"/>
      <w:jc w:val="both"/>
    </w:pPr>
    <w:rPr>
      <w:rFonts w:ascii="Tahoma" w:hAnsi="Tahoma" w:cs="Tahoma"/>
      <w:sz w:val="16"/>
      <w:szCs w:val="16"/>
    </w:rPr>
  </w:style>
  <w:style w:type="character" w:customStyle="1" w:styleId="aa">
    <w:name w:val="Схема документа Знак"/>
    <w:basedOn w:val="a2"/>
    <w:rPr>
      <w:rFonts w:ascii="Tahoma" w:eastAsia="Times New Roman" w:hAnsi="Tahoma" w:cs="Tahoma"/>
      <w:sz w:val="16"/>
      <w:szCs w:val="16"/>
      <w:lang w:eastAsia="ru-RU"/>
    </w:rPr>
  </w:style>
  <w:style w:type="paragraph" w:styleId="ab">
    <w:name w:val="List Paragraph"/>
    <w:basedOn w:val="a1"/>
    <w:pPr>
      <w:ind w:left="720"/>
    </w:pPr>
    <w:rPr>
      <w:sz w:val="28"/>
      <w:szCs w:val="24"/>
    </w:rPr>
  </w:style>
  <w:style w:type="character" w:customStyle="1" w:styleId="ac">
    <w:name w:val="Абзац списка Знак"/>
    <w:basedOn w:val="a2"/>
    <w:rPr>
      <w:rFonts w:ascii="Times New Roman" w:eastAsia="Times New Roman" w:hAnsi="Times New Roman" w:cs="Times New Roman"/>
      <w:sz w:val="28"/>
      <w:szCs w:val="24"/>
      <w:lang w:eastAsia="ru-RU"/>
    </w:rPr>
  </w:style>
  <w:style w:type="paragraph" w:styleId="ad">
    <w:name w:val="caption"/>
    <w:basedOn w:val="a1"/>
    <w:next w:val="a1"/>
    <w:pPr>
      <w:spacing w:before="120"/>
      <w:jc w:val="center"/>
    </w:pPr>
    <w:rPr>
      <w:b/>
      <w:bCs/>
      <w:i/>
      <w:sz w:val="28"/>
      <w:szCs w:val="18"/>
    </w:rPr>
  </w:style>
  <w:style w:type="paragraph" w:customStyle="1" w:styleId="ae">
    <w:name w:val="Таблица"/>
    <w:basedOn w:val="a1"/>
    <w:next w:val="a1"/>
    <w:pPr>
      <w:jc w:val="both"/>
    </w:pPr>
    <w:rPr>
      <w:sz w:val="22"/>
      <w:szCs w:val="24"/>
    </w:rPr>
  </w:style>
  <w:style w:type="paragraph" w:customStyle="1" w:styleId="af">
    <w:name w:val="ОСНОВНОЙ ТЕКСТ"/>
    <w:basedOn w:val="af0"/>
    <w:autoRedefine/>
    <w:pPr>
      <w:autoSpaceDE w:val="0"/>
      <w:spacing w:before="60" w:after="0" w:line="312" w:lineRule="auto"/>
      <w:ind w:left="0"/>
    </w:pPr>
    <w:rPr>
      <w:iCs/>
      <w:sz w:val="24"/>
    </w:rPr>
  </w:style>
  <w:style w:type="paragraph" w:styleId="af0">
    <w:name w:val="Body Text Indent"/>
    <w:basedOn w:val="a1"/>
    <w:pPr>
      <w:spacing w:after="120"/>
      <w:ind w:left="283" w:firstLine="709"/>
      <w:jc w:val="both"/>
    </w:pPr>
    <w:rPr>
      <w:sz w:val="28"/>
      <w:szCs w:val="24"/>
    </w:rPr>
  </w:style>
  <w:style w:type="character" w:customStyle="1" w:styleId="af1">
    <w:name w:val="Основной текст с отступом Знак"/>
    <w:basedOn w:val="a2"/>
    <w:rPr>
      <w:rFonts w:ascii="Times New Roman" w:eastAsia="Times New Roman" w:hAnsi="Times New Roman" w:cs="Times New Roman"/>
      <w:sz w:val="28"/>
      <w:szCs w:val="24"/>
      <w:lang w:eastAsia="ru-RU"/>
    </w:rPr>
  </w:style>
  <w:style w:type="paragraph" w:styleId="af2">
    <w:name w:val="footnote text"/>
    <w:basedOn w:val="a1"/>
    <w:pPr>
      <w:ind w:firstLine="709"/>
      <w:jc w:val="both"/>
    </w:pPr>
  </w:style>
  <w:style w:type="character" w:customStyle="1" w:styleId="af3">
    <w:name w:val="Текст сноски Знак"/>
    <w:basedOn w:val="a2"/>
    <w:rPr>
      <w:rFonts w:ascii="Times New Roman" w:eastAsia="Times New Roman" w:hAnsi="Times New Roman" w:cs="Times New Roman"/>
      <w:sz w:val="20"/>
      <w:szCs w:val="20"/>
      <w:lang w:eastAsia="ru-RU"/>
    </w:rPr>
  </w:style>
  <w:style w:type="character" w:styleId="af4">
    <w:name w:val="footnote reference"/>
    <w:basedOn w:val="a2"/>
    <w:rPr>
      <w:position w:val="0"/>
      <w:vertAlign w:val="superscript"/>
    </w:rPr>
  </w:style>
  <w:style w:type="paragraph" w:styleId="af5">
    <w:name w:val="Balloon Text"/>
    <w:basedOn w:val="a1"/>
    <w:pPr>
      <w:ind w:firstLine="709"/>
      <w:jc w:val="both"/>
    </w:pPr>
    <w:rPr>
      <w:rFonts w:ascii="Tahoma" w:hAnsi="Tahoma" w:cs="Tahoma"/>
      <w:sz w:val="16"/>
      <w:szCs w:val="16"/>
    </w:rPr>
  </w:style>
  <w:style w:type="character" w:customStyle="1" w:styleId="af6">
    <w:name w:val="Текст выноски Знак"/>
    <w:basedOn w:val="a2"/>
    <w:rPr>
      <w:rFonts w:ascii="Tahoma" w:eastAsia="Times New Roman" w:hAnsi="Tahoma" w:cs="Tahoma"/>
      <w:sz w:val="16"/>
      <w:szCs w:val="16"/>
      <w:lang w:eastAsia="ru-RU"/>
    </w:rPr>
  </w:style>
  <w:style w:type="paragraph" w:styleId="33">
    <w:name w:val="toc 3"/>
    <w:basedOn w:val="a1"/>
    <w:next w:val="a1"/>
    <w:autoRedefine/>
    <w:pPr>
      <w:spacing w:after="100"/>
      <w:ind w:left="560" w:firstLine="709"/>
      <w:jc w:val="both"/>
    </w:pPr>
    <w:rPr>
      <w:sz w:val="28"/>
      <w:szCs w:val="24"/>
    </w:rPr>
  </w:style>
  <w:style w:type="paragraph" w:styleId="af7">
    <w:name w:val="TOC Heading"/>
    <w:basedOn w:val="13"/>
    <w:next w:val="a1"/>
    <w:pPr>
      <w:spacing w:after="0" w:line="276" w:lineRule="auto"/>
      <w:jc w:val="left"/>
    </w:pPr>
    <w:rPr>
      <w:color w:val="365F91"/>
      <w:sz w:val="28"/>
      <w:lang w:eastAsia="en-US"/>
    </w:rPr>
  </w:style>
  <w:style w:type="paragraph" w:styleId="51">
    <w:name w:val="toc 5"/>
    <w:basedOn w:val="a1"/>
    <w:next w:val="a1"/>
    <w:autoRedefine/>
    <w:pPr>
      <w:spacing w:after="100" w:line="276" w:lineRule="auto"/>
      <w:ind w:left="880"/>
    </w:pPr>
    <w:rPr>
      <w:rFonts w:ascii="Calibri" w:hAnsi="Calibri"/>
      <w:sz w:val="22"/>
      <w:szCs w:val="22"/>
    </w:rPr>
  </w:style>
  <w:style w:type="paragraph" w:styleId="61">
    <w:name w:val="toc 6"/>
    <w:basedOn w:val="a1"/>
    <w:next w:val="a1"/>
    <w:autoRedefine/>
    <w:pPr>
      <w:spacing w:after="100" w:line="276" w:lineRule="auto"/>
      <w:ind w:left="1100"/>
    </w:pPr>
    <w:rPr>
      <w:rFonts w:ascii="Calibri" w:hAnsi="Calibri"/>
      <w:sz w:val="22"/>
      <w:szCs w:val="22"/>
    </w:rPr>
  </w:style>
  <w:style w:type="paragraph" w:styleId="71">
    <w:name w:val="toc 7"/>
    <w:basedOn w:val="a1"/>
    <w:next w:val="a1"/>
    <w:autoRedefine/>
    <w:pPr>
      <w:spacing w:after="100" w:line="276" w:lineRule="auto"/>
      <w:ind w:left="1320"/>
    </w:pPr>
    <w:rPr>
      <w:rFonts w:ascii="Calibri" w:hAnsi="Calibri"/>
      <w:sz w:val="22"/>
      <w:szCs w:val="22"/>
    </w:rPr>
  </w:style>
  <w:style w:type="paragraph" w:styleId="81">
    <w:name w:val="toc 8"/>
    <w:basedOn w:val="a1"/>
    <w:next w:val="a1"/>
    <w:autoRedefine/>
    <w:pPr>
      <w:spacing w:after="100" w:line="276" w:lineRule="auto"/>
      <w:ind w:left="1540"/>
    </w:pPr>
    <w:rPr>
      <w:rFonts w:ascii="Calibri" w:hAnsi="Calibri"/>
      <w:sz w:val="22"/>
      <w:szCs w:val="22"/>
    </w:rPr>
  </w:style>
  <w:style w:type="paragraph" w:styleId="91">
    <w:name w:val="toc 9"/>
    <w:basedOn w:val="a1"/>
    <w:next w:val="a1"/>
    <w:autoRedefine/>
    <w:pPr>
      <w:spacing w:after="100" w:line="276" w:lineRule="auto"/>
      <w:ind w:left="1760"/>
    </w:pPr>
    <w:rPr>
      <w:rFonts w:ascii="Calibri" w:hAnsi="Calibri"/>
      <w:sz w:val="22"/>
      <w:szCs w:val="22"/>
    </w:rPr>
  </w:style>
  <w:style w:type="paragraph" w:styleId="af8">
    <w:name w:val="List Number"/>
    <w:basedOn w:val="a1"/>
    <w:pPr>
      <w:tabs>
        <w:tab w:val="left" w:pos="720"/>
      </w:tabs>
      <w:ind w:left="720" w:hanging="720"/>
      <w:jc w:val="both"/>
    </w:pPr>
    <w:rPr>
      <w:sz w:val="28"/>
      <w:szCs w:val="24"/>
    </w:rPr>
  </w:style>
  <w:style w:type="paragraph" w:customStyle="1" w:styleId="22">
    <w:name w:val="Абзац списка2"/>
    <w:basedOn w:val="a1"/>
    <w:pPr>
      <w:spacing w:after="200" w:line="276" w:lineRule="auto"/>
      <w:ind w:left="720" w:firstLine="709"/>
      <w:jc w:val="both"/>
    </w:pPr>
    <w:rPr>
      <w:sz w:val="24"/>
      <w:szCs w:val="22"/>
      <w:lang w:eastAsia="en-US"/>
    </w:rPr>
  </w:style>
  <w:style w:type="paragraph" w:styleId="23">
    <w:name w:val="Body Text 2"/>
    <w:basedOn w:val="a1"/>
    <w:pPr>
      <w:spacing w:after="120" w:line="480" w:lineRule="auto"/>
    </w:pPr>
    <w:rPr>
      <w:sz w:val="24"/>
      <w:szCs w:val="24"/>
    </w:rPr>
  </w:style>
  <w:style w:type="character" w:customStyle="1" w:styleId="24">
    <w:name w:val="Основной текст 2 Знак"/>
    <w:basedOn w:val="a2"/>
    <w:rPr>
      <w:rFonts w:ascii="Times New Roman" w:eastAsia="Times New Roman" w:hAnsi="Times New Roman" w:cs="Times New Roman"/>
      <w:sz w:val="24"/>
      <w:szCs w:val="24"/>
      <w:lang w:eastAsia="ru-RU"/>
    </w:rPr>
  </w:style>
  <w:style w:type="paragraph" w:styleId="25">
    <w:name w:val="Body Text Indent 2"/>
    <w:basedOn w:val="a1"/>
    <w:pPr>
      <w:spacing w:after="120" w:line="480" w:lineRule="auto"/>
      <w:ind w:left="283"/>
    </w:pPr>
    <w:rPr>
      <w:sz w:val="24"/>
      <w:szCs w:val="24"/>
    </w:rPr>
  </w:style>
  <w:style w:type="character" w:customStyle="1" w:styleId="26">
    <w:name w:val="Основной текст с отступом 2 Знак"/>
    <w:basedOn w:val="a2"/>
    <w:rPr>
      <w:rFonts w:ascii="Times New Roman" w:eastAsia="Times New Roman" w:hAnsi="Times New Roman" w:cs="Times New Roman"/>
      <w:sz w:val="24"/>
      <w:szCs w:val="24"/>
      <w:lang w:eastAsia="ru-RU"/>
    </w:rPr>
  </w:style>
  <w:style w:type="paragraph" w:customStyle="1" w:styleId="27">
    <w:name w:val="сновной текст с отступом 2"/>
    <w:basedOn w:val="a1"/>
    <w:pPr>
      <w:widowControl w:val="0"/>
      <w:ind w:firstLine="720"/>
      <w:jc w:val="both"/>
    </w:pPr>
    <w:rPr>
      <w:sz w:val="26"/>
    </w:rPr>
  </w:style>
  <w:style w:type="paragraph" w:styleId="af9">
    <w:name w:val="Title"/>
    <w:basedOn w:val="a1"/>
    <w:pPr>
      <w:spacing w:line="300" w:lineRule="atLeast"/>
      <w:ind w:firstLine="720"/>
      <w:jc w:val="center"/>
    </w:pPr>
    <w:rPr>
      <w:b/>
      <w:bCs/>
      <w:color w:val="FF0000"/>
      <w:sz w:val="28"/>
      <w:szCs w:val="28"/>
    </w:rPr>
  </w:style>
  <w:style w:type="character" w:customStyle="1" w:styleId="afa">
    <w:name w:val="Заголовок Знак"/>
    <w:basedOn w:val="a2"/>
    <w:rPr>
      <w:rFonts w:ascii="Times New Roman" w:eastAsia="Times New Roman" w:hAnsi="Times New Roman" w:cs="Times New Roman"/>
      <w:b/>
      <w:bCs/>
      <w:color w:val="FF0000"/>
      <w:sz w:val="28"/>
      <w:szCs w:val="28"/>
      <w:lang w:eastAsia="ru-RU"/>
    </w:rPr>
  </w:style>
  <w:style w:type="paragraph" w:customStyle="1" w:styleId="afb">
    <w:name w:val="текст"/>
    <w:pPr>
      <w:suppressAutoHyphens/>
      <w:autoSpaceDE w:val="0"/>
      <w:spacing w:after="0" w:line="260" w:lineRule="atLeast"/>
      <w:ind w:firstLine="454"/>
      <w:jc w:val="both"/>
    </w:pPr>
    <w:rPr>
      <w:rFonts w:ascii="FreeSetC" w:eastAsia="Times New Roman" w:hAnsi="FreeSetC"/>
      <w:color w:val="000000"/>
      <w:lang w:eastAsia="ru-RU"/>
    </w:rPr>
  </w:style>
  <w:style w:type="paragraph" w:customStyle="1" w:styleId="xl74">
    <w:name w:val="xl74"/>
    <w:basedOn w:val="a1"/>
    <w:pPr>
      <w:spacing w:before="100" w:after="100"/>
    </w:pPr>
    <w:rPr>
      <w:rFonts w:ascii="Times New Roman CYR" w:eastAsia="Arial Unicode MS" w:hAnsi="Times New Roman CYR" w:cs="GaramondC"/>
      <w:sz w:val="18"/>
      <w:szCs w:val="18"/>
    </w:rPr>
  </w:style>
  <w:style w:type="paragraph" w:customStyle="1" w:styleId="28">
    <w:name w:val="Обычный2"/>
    <w:pPr>
      <w:widowControl w:val="0"/>
      <w:suppressAutoHyphens/>
      <w:spacing w:after="0" w:line="240" w:lineRule="auto"/>
    </w:pPr>
    <w:rPr>
      <w:rFonts w:ascii="Times New Roman" w:eastAsia="Times New Roman" w:hAnsi="Times New Roman"/>
      <w:sz w:val="20"/>
      <w:szCs w:val="20"/>
      <w:lang w:eastAsia="ru-RU"/>
    </w:rPr>
  </w:style>
  <w:style w:type="paragraph" w:customStyle="1" w:styleId="afc">
    <w:name w:val="Перечисление"/>
    <w:basedOn w:val="a1"/>
    <w:pPr>
      <w:tabs>
        <w:tab w:val="left" w:pos="360"/>
      </w:tabs>
      <w:ind w:left="360" w:hanging="360"/>
      <w:jc w:val="both"/>
    </w:pPr>
    <w:rPr>
      <w:sz w:val="28"/>
    </w:rPr>
  </w:style>
  <w:style w:type="paragraph" w:styleId="afd">
    <w:name w:val="Subtitle"/>
    <w:basedOn w:val="a1"/>
    <w:pPr>
      <w:jc w:val="center"/>
    </w:pPr>
    <w:rPr>
      <w:caps/>
      <w:spacing w:val="60"/>
      <w:sz w:val="24"/>
    </w:rPr>
  </w:style>
  <w:style w:type="character" w:customStyle="1" w:styleId="afe">
    <w:name w:val="Подзаголовок Знак"/>
    <w:basedOn w:val="a2"/>
    <w:rPr>
      <w:rFonts w:ascii="Times New Roman" w:eastAsia="Times New Roman" w:hAnsi="Times New Roman" w:cs="Times New Roman"/>
      <w:caps/>
      <w:spacing w:val="60"/>
      <w:sz w:val="24"/>
      <w:szCs w:val="20"/>
      <w:lang w:eastAsia="ru-RU"/>
    </w:rPr>
  </w:style>
  <w:style w:type="paragraph" w:styleId="aff">
    <w:name w:val="header"/>
    <w:basedOn w:val="a1"/>
    <w:pPr>
      <w:tabs>
        <w:tab w:val="center" w:pos="4677"/>
        <w:tab w:val="right" w:pos="9355"/>
      </w:tabs>
    </w:pPr>
    <w:rPr>
      <w:sz w:val="24"/>
      <w:szCs w:val="24"/>
    </w:rPr>
  </w:style>
  <w:style w:type="character" w:customStyle="1" w:styleId="aff0">
    <w:name w:val="Верхний колонтитул Знак"/>
    <w:basedOn w:val="a2"/>
    <w:rPr>
      <w:rFonts w:ascii="Times New Roman" w:eastAsia="Times New Roman" w:hAnsi="Times New Roman" w:cs="Times New Roman"/>
      <w:sz w:val="24"/>
      <w:szCs w:val="24"/>
      <w:lang w:eastAsia="ru-RU"/>
    </w:rPr>
  </w:style>
  <w:style w:type="character" w:styleId="aff1">
    <w:name w:val="page number"/>
    <w:basedOn w:val="a2"/>
  </w:style>
  <w:style w:type="paragraph" w:customStyle="1" w:styleId="ConsPlusNonformat">
    <w:name w:val="ConsPlusNonformat"/>
    <w:pPr>
      <w:suppressAutoHyphens/>
      <w:autoSpaceDE w:val="0"/>
      <w:spacing w:after="0" w:line="240" w:lineRule="auto"/>
    </w:pPr>
    <w:rPr>
      <w:rFonts w:ascii="Courier New" w:eastAsia="Times New Roman" w:hAnsi="Courier New" w:cs="Courier New"/>
      <w:sz w:val="20"/>
      <w:szCs w:val="20"/>
      <w:lang w:eastAsia="ru-RU"/>
    </w:rPr>
  </w:style>
  <w:style w:type="character" w:styleId="aff2">
    <w:name w:val="FollowedHyperlink"/>
    <w:basedOn w:val="a2"/>
    <w:rPr>
      <w:color w:val="800080"/>
      <w:u w:val="single"/>
    </w:rPr>
  </w:style>
  <w:style w:type="paragraph" w:customStyle="1" w:styleId="16">
    <w:name w:val="Стиль Заголовок 1"/>
    <w:basedOn w:val="13"/>
    <w:pPr>
      <w:keepLines w:val="0"/>
      <w:spacing w:before="0" w:after="0" w:line="360" w:lineRule="auto"/>
      <w:ind w:firstLine="720"/>
    </w:pPr>
    <w:rPr>
      <w:rFonts w:ascii="Times New Roman" w:hAnsi="Times New Roman"/>
      <w:b w:val="0"/>
      <w:bCs w:val="0"/>
      <w:color w:val="000000"/>
      <w:sz w:val="24"/>
      <w:szCs w:val="22"/>
    </w:rPr>
  </w:style>
  <w:style w:type="paragraph" w:styleId="aff3">
    <w:name w:val="footer"/>
    <w:basedOn w:val="a1"/>
    <w:pPr>
      <w:tabs>
        <w:tab w:val="center" w:pos="4677"/>
        <w:tab w:val="right" w:pos="9355"/>
      </w:tabs>
    </w:pPr>
    <w:rPr>
      <w:sz w:val="24"/>
      <w:szCs w:val="24"/>
    </w:rPr>
  </w:style>
  <w:style w:type="character" w:customStyle="1" w:styleId="aff4">
    <w:name w:val="Нижний колонтитул Знак"/>
    <w:basedOn w:val="a2"/>
    <w:rPr>
      <w:rFonts w:ascii="Times New Roman" w:eastAsia="Times New Roman" w:hAnsi="Times New Roman" w:cs="Times New Roman"/>
      <w:sz w:val="24"/>
      <w:szCs w:val="24"/>
      <w:lang w:eastAsia="ru-RU"/>
    </w:rPr>
  </w:style>
  <w:style w:type="paragraph" w:customStyle="1" w:styleId="ConsPlusNormal">
    <w:name w:val="ConsPlusNormal"/>
    <w:pPr>
      <w:widowControl w:val="0"/>
      <w:suppressAutoHyphens/>
      <w:autoSpaceDE w:val="0"/>
      <w:spacing w:after="0" w:line="240" w:lineRule="auto"/>
      <w:ind w:firstLine="720"/>
    </w:pPr>
    <w:rPr>
      <w:rFonts w:ascii="Times New Roman" w:eastAsia="Times New Roman" w:hAnsi="Times New Roman"/>
      <w:sz w:val="28"/>
      <w:szCs w:val="28"/>
      <w:lang w:eastAsia="ru-RU"/>
    </w:rPr>
  </w:style>
  <w:style w:type="paragraph" w:customStyle="1" w:styleId="ConsPlusTitle">
    <w:name w:val="ConsPlusTitle"/>
    <w:pPr>
      <w:widowControl w:val="0"/>
      <w:suppressAutoHyphens/>
      <w:autoSpaceDE w:val="0"/>
      <w:spacing w:after="0" w:line="240" w:lineRule="auto"/>
    </w:pPr>
    <w:rPr>
      <w:rFonts w:ascii="Arial" w:eastAsia="Times New Roman" w:hAnsi="Arial" w:cs="Arial"/>
      <w:b/>
      <w:bCs/>
      <w:sz w:val="20"/>
      <w:szCs w:val="20"/>
      <w:lang w:eastAsia="ru-RU"/>
    </w:rPr>
  </w:style>
  <w:style w:type="paragraph" w:customStyle="1" w:styleId="62">
    <w:name w:val="заголовок 6"/>
    <w:basedOn w:val="a1"/>
    <w:next w:val="a1"/>
    <w:pPr>
      <w:keepNext/>
      <w:widowControl w:val="0"/>
      <w:spacing w:line="360" w:lineRule="auto"/>
      <w:jc w:val="center"/>
    </w:pPr>
    <w:rPr>
      <w:rFonts w:ascii="TimesET" w:hAnsi="TimesET"/>
      <w:b/>
      <w:sz w:val="28"/>
    </w:rPr>
  </w:style>
  <w:style w:type="paragraph" w:styleId="aff5">
    <w:name w:val="endnote text"/>
    <w:basedOn w:val="a1"/>
  </w:style>
  <w:style w:type="character" w:customStyle="1" w:styleId="aff6">
    <w:name w:val="Текст концевой сноски Знак"/>
    <w:basedOn w:val="a2"/>
    <w:rPr>
      <w:rFonts w:ascii="Times New Roman" w:eastAsia="Times New Roman" w:hAnsi="Times New Roman" w:cs="Times New Roman"/>
      <w:sz w:val="20"/>
      <w:szCs w:val="20"/>
      <w:lang w:eastAsia="ru-RU"/>
    </w:rPr>
  </w:style>
  <w:style w:type="character" w:styleId="aff7">
    <w:name w:val="endnote reference"/>
    <w:basedOn w:val="a2"/>
    <w:rPr>
      <w:position w:val="0"/>
      <w:vertAlign w:val="superscript"/>
    </w:rPr>
  </w:style>
  <w:style w:type="paragraph" w:customStyle="1" w:styleId="52">
    <w:name w:val="Знак5 Знак Знак Знак"/>
    <w:basedOn w:val="a1"/>
    <w:pPr>
      <w:spacing w:after="160" w:line="240" w:lineRule="exact"/>
    </w:pPr>
    <w:rPr>
      <w:rFonts w:ascii="Verdana" w:hAnsi="Verdana"/>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1"/>
    <w:rPr>
      <w:rFonts w:ascii="Verdana" w:hAnsi="Verdana" w:cs="Verdana"/>
      <w:lang w:val="en-US" w:eastAsia="en-US"/>
    </w:rPr>
  </w:style>
  <w:style w:type="character" w:customStyle="1" w:styleId="paragraph">
    <w:name w:val="paragraph"/>
    <w:basedOn w:val="a2"/>
  </w:style>
  <w:style w:type="character" w:styleId="aff8">
    <w:name w:val="Strong"/>
    <w:basedOn w:val="a2"/>
    <w:rPr>
      <w:b/>
      <w:bCs/>
    </w:rPr>
  </w:style>
  <w:style w:type="paragraph" w:customStyle="1" w:styleId="artx">
    <w:name w:val="artx"/>
    <w:basedOn w:val="a1"/>
    <w:pPr>
      <w:spacing w:before="100" w:after="100"/>
    </w:pPr>
    <w:rPr>
      <w:sz w:val="24"/>
      <w:szCs w:val="24"/>
    </w:rPr>
  </w:style>
  <w:style w:type="paragraph" w:customStyle="1" w:styleId="29">
    <w:name w:val="Знак2"/>
    <w:basedOn w:val="a1"/>
    <w:pPr>
      <w:spacing w:after="160" w:line="240" w:lineRule="exact"/>
    </w:pPr>
    <w:rPr>
      <w:rFonts w:ascii="Verdana" w:hAnsi="Verdana"/>
      <w:lang w:val="en-US" w:eastAsia="en-US"/>
    </w:rPr>
  </w:style>
  <w:style w:type="paragraph" w:customStyle="1" w:styleId="aff9">
    <w:name w:val="Знак Знак Знак"/>
    <w:basedOn w:val="a1"/>
    <w:pPr>
      <w:spacing w:after="160" w:line="240" w:lineRule="exact"/>
    </w:pPr>
    <w:rPr>
      <w:rFonts w:ascii="Verdana" w:hAnsi="Verdana"/>
      <w:lang w:val="en-US" w:eastAsia="en-US"/>
    </w:rPr>
  </w:style>
  <w:style w:type="paragraph" w:customStyle="1" w:styleId="xl29">
    <w:name w:val="xl29"/>
    <w:basedOn w:val="a1"/>
    <w:pPr>
      <w:spacing w:before="100" w:after="100"/>
      <w:jc w:val="center"/>
    </w:pPr>
    <w:rPr>
      <w:rFonts w:ascii="Times New Roman CYR" w:eastAsia="Arial Unicode MS" w:hAnsi="Times New Roman CYR" w:cs="GaramondC"/>
      <w:sz w:val="24"/>
      <w:szCs w:val="24"/>
    </w:rPr>
  </w:style>
  <w:style w:type="paragraph" w:styleId="34">
    <w:name w:val="Body Text 3"/>
    <w:basedOn w:val="a1"/>
    <w:pPr>
      <w:spacing w:after="120"/>
    </w:pPr>
    <w:rPr>
      <w:sz w:val="16"/>
      <w:szCs w:val="16"/>
    </w:rPr>
  </w:style>
  <w:style w:type="character" w:customStyle="1" w:styleId="35">
    <w:name w:val="Основной текст 3 Знак"/>
    <w:basedOn w:val="a2"/>
    <w:rPr>
      <w:rFonts w:ascii="Times New Roman" w:eastAsia="Times New Roman" w:hAnsi="Times New Roman" w:cs="Times New Roman"/>
      <w:sz w:val="16"/>
      <w:szCs w:val="16"/>
      <w:lang w:eastAsia="ru-RU"/>
    </w:rPr>
  </w:style>
  <w:style w:type="paragraph" w:customStyle="1" w:styleId="13-1">
    <w:name w:val="Стиль13-1"/>
    <w:basedOn w:val="a1"/>
    <w:pPr>
      <w:ind w:firstLine="709"/>
      <w:jc w:val="both"/>
    </w:pPr>
    <w:rPr>
      <w:sz w:val="26"/>
      <w:szCs w:val="24"/>
    </w:rPr>
  </w:style>
  <w:style w:type="paragraph" w:customStyle="1" w:styleId="17">
    <w:name w:val="Обычный1"/>
    <w:pPr>
      <w:widowControl w:val="0"/>
      <w:suppressAutoHyphens/>
      <w:spacing w:after="0" w:line="240" w:lineRule="auto"/>
    </w:pPr>
    <w:rPr>
      <w:rFonts w:ascii="Times New Roman" w:eastAsia="Times New Roman" w:hAnsi="Times New Roman"/>
      <w:sz w:val="20"/>
      <w:szCs w:val="20"/>
      <w:lang w:eastAsia="ru-RU"/>
    </w:rPr>
  </w:style>
  <w:style w:type="paragraph" w:customStyle="1" w:styleId="18">
    <w:name w:val="Знак1"/>
    <w:basedOn w:val="a1"/>
    <w:pPr>
      <w:spacing w:after="160" w:line="240" w:lineRule="exact"/>
    </w:pPr>
    <w:rPr>
      <w:rFonts w:ascii="Verdana" w:hAnsi="Verdana"/>
      <w:lang w:val="en-US" w:eastAsia="en-US"/>
    </w:rPr>
  </w:style>
  <w:style w:type="paragraph" w:customStyle="1" w:styleId="affa">
    <w:name w:val="текст основной"/>
    <w:pPr>
      <w:tabs>
        <w:tab w:val="right" w:pos="7200"/>
      </w:tabs>
      <w:suppressAutoHyphens/>
      <w:autoSpaceDE w:val="0"/>
      <w:spacing w:after="0" w:line="240" w:lineRule="auto"/>
      <w:ind w:firstLine="567"/>
      <w:jc w:val="both"/>
    </w:pPr>
    <w:rPr>
      <w:rFonts w:ascii="FreeSetC" w:eastAsia="Times New Roman" w:hAnsi="FreeSetC"/>
      <w:color w:val="000000"/>
      <w:lang w:eastAsia="ru-RU"/>
    </w:rPr>
  </w:style>
  <w:style w:type="character" w:customStyle="1" w:styleId="19">
    <w:name w:val="Текст сноски Знак1"/>
    <w:basedOn w:val="a2"/>
    <w:rPr>
      <w:lang w:val="ru-RU" w:eastAsia="ru-RU" w:bidi="ar-SA"/>
    </w:rPr>
  </w:style>
  <w:style w:type="paragraph" w:customStyle="1" w:styleId="defscrRUSTxtStyleText">
    <w:name w:val="defscr_RUS_TxtStyleText"/>
    <w:basedOn w:val="a1"/>
    <w:pPr>
      <w:widowControl w:val="0"/>
      <w:spacing w:before="120"/>
      <w:ind w:firstLine="425"/>
      <w:jc w:val="both"/>
    </w:pPr>
    <w:rPr>
      <w:color w:val="000000"/>
      <w:sz w:val="24"/>
    </w:rPr>
  </w:style>
  <w:style w:type="paragraph" w:styleId="affb">
    <w:name w:val="E-mail Signature"/>
    <w:basedOn w:val="a1"/>
    <w:rPr>
      <w:sz w:val="24"/>
      <w:szCs w:val="24"/>
    </w:rPr>
  </w:style>
  <w:style w:type="character" w:customStyle="1" w:styleId="affc">
    <w:name w:val="Электронная подпись Знак"/>
    <w:basedOn w:val="a2"/>
    <w:rPr>
      <w:rFonts w:ascii="Times New Roman" w:eastAsia="Times New Roman" w:hAnsi="Times New Roman" w:cs="Times New Roman"/>
      <w:sz w:val="24"/>
      <w:szCs w:val="24"/>
      <w:lang w:eastAsia="ru-RU"/>
    </w:rPr>
  </w:style>
  <w:style w:type="paragraph" w:customStyle="1" w:styleId="xl32">
    <w:name w:val="xl32"/>
    <w:basedOn w:val="a1"/>
    <w:pPr>
      <w:spacing w:before="100" w:after="100"/>
    </w:pPr>
    <w:rPr>
      <w:rFonts w:ascii="Times New Roman CYR" w:eastAsia="Arial Unicode MS" w:hAnsi="Times New Roman CYR" w:cs="Times New Roman CYR"/>
      <w:sz w:val="24"/>
      <w:szCs w:val="24"/>
    </w:rPr>
  </w:style>
  <w:style w:type="paragraph" w:customStyle="1" w:styleId="210">
    <w:name w:val="Основной текст с отступом 21"/>
    <w:basedOn w:val="a1"/>
    <w:pPr>
      <w:ind w:firstLine="709"/>
      <w:jc w:val="both"/>
    </w:pPr>
    <w:rPr>
      <w:sz w:val="26"/>
    </w:rPr>
  </w:style>
  <w:style w:type="paragraph" w:customStyle="1" w:styleId="affd">
    <w:name w:val="Чиновничий"/>
    <w:basedOn w:val="a1"/>
    <w:autoRedefine/>
    <w:pPr>
      <w:widowControl w:val="0"/>
      <w:snapToGrid w:val="0"/>
      <w:spacing w:line="360" w:lineRule="auto"/>
      <w:ind w:firstLine="709"/>
      <w:jc w:val="center"/>
    </w:pPr>
    <w:rPr>
      <w:b/>
      <w:sz w:val="28"/>
      <w:szCs w:val="28"/>
      <w:lang w:val="en-US"/>
    </w:rPr>
  </w:style>
  <w:style w:type="character" w:customStyle="1" w:styleId="FontStyle25">
    <w:name w:val="Font Style25"/>
    <w:basedOn w:val="a2"/>
    <w:rPr>
      <w:rFonts w:ascii="Times New Roman" w:hAnsi="Times New Roman" w:cs="Times New Roman"/>
      <w:sz w:val="26"/>
      <w:szCs w:val="26"/>
    </w:rPr>
  </w:style>
  <w:style w:type="paragraph" w:customStyle="1" w:styleId="Style10">
    <w:name w:val="Style10"/>
    <w:basedOn w:val="a1"/>
    <w:pPr>
      <w:widowControl w:val="0"/>
      <w:autoSpaceDE w:val="0"/>
      <w:spacing w:line="490" w:lineRule="exact"/>
      <w:ind w:firstLine="706"/>
      <w:jc w:val="both"/>
    </w:pPr>
    <w:rPr>
      <w:sz w:val="24"/>
      <w:szCs w:val="24"/>
    </w:rPr>
  </w:style>
  <w:style w:type="character" w:customStyle="1" w:styleId="110">
    <w:name w:val="Заголовок 1 Знак1"/>
    <w:basedOn w:val="a2"/>
    <w:rPr>
      <w:rFonts w:ascii="Arial" w:eastAsia="Times New Roman" w:hAnsi="Arial" w:cs="Arial"/>
      <w:b/>
      <w:bCs/>
      <w:kern w:val="3"/>
      <w:sz w:val="32"/>
      <w:szCs w:val="32"/>
    </w:rPr>
  </w:style>
  <w:style w:type="paragraph" w:customStyle="1" w:styleId="affe">
    <w:name w:val="Знак Знак Знак Знак Знак Знак Знак"/>
    <w:basedOn w:val="a1"/>
    <w:autoRedefine/>
    <w:pPr>
      <w:spacing w:after="160" w:line="360" w:lineRule="auto"/>
    </w:pPr>
    <w:rPr>
      <w:rFonts w:eastAsia="SimSun"/>
      <w:b/>
      <w:sz w:val="24"/>
      <w:szCs w:val="24"/>
      <w:lang w:eastAsia="en-US"/>
    </w:rPr>
  </w:style>
  <w:style w:type="paragraph" w:customStyle="1" w:styleId="1TimesNewRoman14">
    <w:name w:val="Стиль Заголовок 1 + Times New Roman 14 пт"/>
    <w:basedOn w:val="13"/>
    <w:pPr>
      <w:keepLines w:val="0"/>
      <w:spacing w:before="240" w:after="60"/>
      <w:jc w:val="left"/>
    </w:pPr>
    <w:rPr>
      <w:rFonts w:ascii="Times New Roman" w:hAnsi="Times New Roman" w:cs="Arial"/>
      <w:color w:val="auto"/>
      <w:kern w:val="3"/>
      <w:sz w:val="28"/>
      <w:szCs w:val="32"/>
    </w:rPr>
  </w:style>
  <w:style w:type="character" w:customStyle="1" w:styleId="1TimesNewRoman140">
    <w:name w:val="Стиль Заголовок 1 + Times New Roman 14 пт Знак"/>
    <w:basedOn w:val="15"/>
    <w:rPr>
      <w:rFonts w:ascii="Arial" w:eastAsia="Times New Roman" w:hAnsi="Arial" w:cs="Arial"/>
      <w:b/>
      <w:bCs/>
      <w:color w:val="C00000"/>
      <w:kern w:val="3"/>
      <w:sz w:val="32"/>
      <w:szCs w:val="32"/>
      <w:lang w:val="ru-RU" w:eastAsia="ru-RU" w:bidi="ar-SA"/>
    </w:rPr>
  </w:style>
  <w:style w:type="paragraph" w:customStyle="1" w:styleId="01">
    <w:name w:val="Стиль 01"/>
    <w:basedOn w:val="13"/>
    <w:pPr>
      <w:keepLines w:val="0"/>
      <w:spacing w:before="240" w:after="60"/>
      <w:ind w:left="900"/>
      <w:jc w:val="left"/>
    </w:pPr>
    <w:rPr>
      <w:rFonts w:ascii="Times New Roman" w:hAnsi="Times New Roman" w:cs="Arial"/>
      <w:color w:val="auto"/>
      <w:kern w:val="3"/>
      <w:sz w:val="28"/>
      <w:szCs w:val="32"/>
    </w:rPr>
  </w:style>
  <w:style w:type="paragraph" w:customStyle="1" w:styleId="02">
    <w:name w:val="Стиль 02"/>
    <w:basedOn w:val="2"/>
    <w:pPr>
      <w:numPr>
        <w:ilvl w:val="0"/>
        <w:numId w:val="0"/>
      </w:numPr>
      <w:spacing w:line="276" w:lineRule="auto"/>
    </w:pPr>
    <w:rPr>
      <w:rFonts w:ascii="Times New Roman" w:hAnsi="Times New Roman"/>
      <w:b/>
      <w:bCs/>
      <w:i/>
      <w:iCs/>
      <w:color w:val="auto"/>
      <w:sz w:val="28"/>
      <w:szCs w:val="28"/>
      <w:lang w:eastAsia="en-US"/>
    </w:rPr>
  </w:style>
  <w:style w:type="paragraph" w:customStyle="1" w:styleId="021">
    <w:name w:val="Стиль021"/>
    <w:basedOn w:val="02"/>
    <w:pPr>
      <w:numPr>
        <w:numId w:val="11"/>
      </w:numPr>
    </w:pPr>
  </w:style>
  <w:style w:type="paragraph" w:customStyle="1" w:styleId="Style1">
    <w:name w:val="Style1"/>
    <w:basedOn w:val="a1"/>
    <w:pPr>
      <w:widowControl w:val="0"/>
      <w:autoSpaceDE w:val="0"/>
      <w:spacing w:line="274" w:lineRule="exact"/>
      <w:ind w:firstLine="394"/>
      <w:jc w:val="both"/>
    </w:pPr>
    <w:rPr>
      <w:sz w:val="24"/>
      <w:szCs w:val="24"/>
    </w:rPr>
  </w:style>
  <w:style w:type="paragraph" w:customStyle="1" w:styleId="Style2">
    <w:name w:val="Style2"/>
    <w:basedOn w:val="a1"/>
    <w:pPr>
      <w:widowControl w:val="0"/>
      <w:autoSpaceDE w:val="0"/>
      <w:spacing w:line="276" w:lineRule="exact"/>
      <w:ind w:firstLine="298"/>
      <w:jc w:val="both"/>
    </w:pPr>
    <w:rPr>
      <w:sz w:val="24"/>
      <w:szCs w:val="24"/>
    </w:rPr>
  </w:style>
  <w:style w:type="character" w:customStyle="1" w:styleId="FontStyle11">
    <w:name w:val="Font Style11"/>
    <w:basedOn w:val="a2"/>
    <w:rPr>
      <w:rFonts w:ascii="Times New Roman" w:hAnsi="Times New Roman" w:cs="Times New Roman"/>
      <w:sz w:val="22"/>
      <w:szCs w:val="22"/>
    </w:rPr>
  </w:style>
  <w:style w:type="paragraph" w:customStyle="1" w:styleId="afff">
    <w:name w:val="Обычный + Красный"/>
    <w:basedOn w:val="a1"/>
    <w:pPr>
      <w:tabs>
        <w:tab w:val="left" w:pos="2160"/>
      </w:tabs>
      <w:jc w:val="both"/>
    </w:pPr>
    <w:rPr>
      <w:color w:val="FF0000"/>
      <w:sz w:val="24"/>
      <w:szCs w:val="24"/>
    </w:rPr>
  </w:style>
  <w:style w:type="paragraph" w:customStyle="1" w:styleId="Style3">
    <w:name w:val="Style3"/>
    <w:basedOn w:val="a1"/>
    <w:pPr>
      <w:widowControl w:val="0"/>
      <w:autoSpaceDE w:val="0"/>
      <w:spacing w:line="295" w:lineRule="exact"/>
      <w:ind w:firstLine="698"/>
      <w:jc w:val="both"/>
    </w:pPr>
    <w:rPr>
      <w:sz w:val="24"/>
      <w:szCs w:val="24"/>
    </w:rPr>
  </w:style>
  <w:style w:type="character" w:customStyle="1" w:styleId="FontStyle12">
    <w:name w:val="Font Style12"/>
    <w:basedOn w:val="a2"/>
    <w:rPr>
      <w:rFonts w:ascii="Times New Roman" w:hAnsi="Times New Roman" w:cs="Times New Roman"/>
      <w:b/>
      <w:bCs/>
      <w:sz w:val="22"/>
      <w:szCs w:val="22"/>
    </w:rPr>
  </w:style>
  <w:style w:type="paragraph" w:styleId="HTML">
    <w:name w:val="HTML Preformatted"/>
    <w:basedOn w:val="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2"/>
    <w:rPr>
      <w:rFonts w:ascii="Courier New" w:eastAsia="Times New Roman" w:hAnsi="Courier New" w:cs="Courier New"/>
      <w:sz w:val="20"/>
      <w:szCs w:val="20"/>
      <w:lang w:eastAsia="ru-RU"/>
    </w:rPr>
  </w:style>
  <w:style w:type="paragraph" w:customStyle="1" w:styleId="1a">
    <w:name w:val="Знак Знак Знак Знак Знак Знак Знак Знак Знак1 Знак"/>
    <w:basedOn w:val="a1"/>
    <w:pPr>
      <w:spacing w:before="100" w:after="100"/>
    </w:pPr>
    <w:rPr>
      <w:rFonts w:ascii="Tahoma" w:hAnsi="Tahoma"/>
      <w:lang w:val="en-US" w:eastAsia="en-US"/>
    </w:rPr>
  </w:style>
  <w:style w:type="paragraph" w:styleId="afff0">
    <w:name w:val="List Bullet"/>
    <w:basedOn w:val="a1"/>
    <w:pPr>
      <w:widowControl w:val="0"/>
      <w:tabs>
        <w:tab w:val="left" w:pos="1620"/>
      </w:tabs>
      <w:autoSpaceDE w:val="0"/>
      <w:spacing w:line="300" w:lineRule="auto"/>
      <w:ind w:left="1620" w:hanging="360"/>
      <w:jc w:val="both"/>
    </w:pPr>
    <w:rPr>
      <w:sz w:val="28"/>
      <w:szCs w:val="22"/>
    </w:rPr>
  </w:style>
  <w:style w:type="paragraph" w:styleId="afff1">
    <w:name w:val="List Continue"/>
    <w:basedOn w:val="a1"/>
    <w:pPr>
      <w:spacing w:after="120"/>
      <w:ind w:left="283"/>
    </w:pPr>
    <w:rPr>
      <w:color w:val="000000"/>
    </w:rPr>
  </w:style>
  <w:style w:type="paragraph" w:customStyle="1" w:styleId="CharChar1CharChar1CharChar">
    <w:name w:val="Char Char Знак Знак1 Char Char1 Знак Знак Char Char"/>
    <w:basedOn w:val="a1"/>
    <w:pPr>
      <w:spacing w:before="100" w:after="100"/>
    </w:pPr>
    <w:rPr>
      <w:rFonts w:ascii="Tahoma" w:hAnsi="Tahoma"/>
      <w:lang w:val="en-US" w:eastAsia="en-US"/>
    </w:rPr>
  </w:style>
  <w:style w:type="character" w:styleId="afff2">
    <w:name w:val="Emphasis"/>
    <w:basedOn w:val="a2"/>
    <w:rPr>
      <w:i/>
      <w:iCs/>
    </w:rPr>
  </w:style>
  <w:style w:type="paragraph" w:customStyle="1" w:styleId="36">
    <w:name w:val="Обычный3"/>
    <w:pPr>
      <w:widowControl w:val="0"/>
      <w:suppressAutoHyphens/>
      <w:spacing w:after="0" w:line="240" w:lineRule="auto"/>
      <w:ind w:firstLine="567"/>
      <w:jc w:val="both"/>
    </w:pPr>
    <w:rPr>
      <w:rFonts w:ascii="Times New Roman" w:eastAsia="Times New Roman" w:hAnsi="Times New Roman"/>
      <w:sz w:val="24"/>
      <w:szCs w:val="20"/>
      <w:lang w:eastAsia="ru-RU"/>
    </w:rPr>
  </w:style>
  <w:style w:type="paragraph" w:customStyle="1" w:styleId="xl24">
    <w:name w:val="xl24"/>
    <w:basedOn w:val="a1"/>
    <w:pPr>
      <w:spacing w:before="100" w:after="100"/>
      <w:jc w:val="center"/>
    </w:pPr>
    <w:rPr>
      <w:sz w:val="24"/>
    </w:rPr>
  </w:style>
  <w:style w:type="paragraph" w:customStyle="1" w:styleId="afff3">
    <w:name w:val="Список с точками"/>
    <w:basedOn w:val="a1"/>
    <w:next w:val="a1"/>
    <w:pPr>
      <w:spacing w:before="240" w:line="320" w:lineRule="exact"/>
      <w:ind w:left="1134" w:right="1701" w:hanging="283"/>
      <w:jc w:val="both"/>
      <w:outlineLvl w:val="6"/>
    </w:pPr>
    <w:rPr>
      <w:rFonts w:ascii="Vanta Light" w:hAnsi="Vanta Light"/>
      <w:kern w:val="3"/>
      <w:sz w:val="18"/>
      <w:szCs w:val="24"/>
    </w:rPr>
  </w:style>
  <w:style w:type="paragraph" w:customStyle="1" w:styleId="afff4">
    <w:name w:val=".."/>
    <w:basedOn w:val="a1"/>
    <w:pPr>
      <w:spacing w:line="360" w:lineRule="atLeast"/>
      <w:ind w:firstLine="567"/>
      <w:jc w:val="both"/>
    </w:pPr>
    <w:rPr>
      <w:sz w:val="24"/>
    </w:rPr>
  </w:style>
  <w:style w:type="paragraph" w:customStyle="1" w:styleId="310">
    <w:name w:val="Основной текст с отступом 31"/>
    <w:basedOn w:val="a1"/>
    <w:pPr>
      <w:ind w:firstLine="720"/>
      <w:jc w:val="both"/>
    </w:pPr>
  </w:style>
  <w:style w:type="paragraph" w:customStyle="1" w:styleId="1b">
    <w:name w:val="Таблица 1"/>
    <w:basedOn w:val="a1"/>
    <w:pPr>
      <w:spacing w:after="60" w:line="200" w:lineRule="exact"/>
      <w:outlineLvl w:val="6"/>
    </w:pPr>
    <w:rPr>
      <w:rFonts w:ascii="Vanta Light" w:hAnsi="Vanta Light"/>
      <w:kern w:val="3"/>
      <w:sz w:val="16"/>
      <w:szCs w:val="24"/>
    </w:rPr>
  </w:style>
  <w:style w:type="paragraph" w:customStyle="1" w:styleId="2a">
    <w:name w:val="Заг 2"/>
    <w:basedOn w:val="a1"/>
    <w:pPr>
      <w:tabs>
        <w:tab w:val="left" w:pos="360"/>
      </w:tabs>
      <w:autoSpaceDE w:val="0"/>
      <w:spacing w:before="280" w:after="160"/>
      <w:ind w:left="360" w:hanging="360"/>
    </w:pPr>
    <w:rPr>
      <w:b/>
      <w:bCs/>
      <w:sz w:val="32"/>
      <w:szCs w:val="32"/>
    </w:rPr>
  </w:style>
  <w:style w:type="paragraph" w:customStyle="1" w:styleId="37">
    <w:name w:val="Заг 3"/>
    <w:basedOn w:val="a1"/>
    <w:pPr>
      <w:keepNext/>
      <w:tabs>
        <w:tab w:val="left" w:pos="1080"/>
      </w:tabs>
      <w:autoSpaceDE w:val="0"/>
      <w:spacing w:before="160" w:after="120"/>
      <w:ind w:left="1080" w:hanging="720"/>
    </w:pPr>
    <w:rPr>
      <w:b/>
      <w:bCs/>
      <w:sz w:val="28"/>
      <w:szCs w:val="28"/>
    </w:rPr>
  </w:style>
  <w:style w:type="paragraph" w:customStyle="1" w:styleId="53">
    <w:name w:val="Заг 5"/>
    <w:basedOn w:val="a1"/>
    <w:pPr>
      <w:widowControl w:val="0"/>
      <w:tabs>
        <w:tab w:val="left" w:pos="1429"/>
      </w:tabs>
      <w:autoSpaceDE w:val="0"/>
      <w:spacing w:line="360" w:lineRule="auto"/>
      <w:ind w:left="1106" w:hanging="397"/>
      <w:jc w:val="both"/>
    </w:pPr>
    <w:rPr>
      <w:i/>
      <w:iCs/>
      <w:sz w:val="24"/>
      <w:szCs w:val="24"/>
    </w:rPr>
  </w:style>
  <w:style w:type="paragraph" w:styleId="2b">
    <w:name w:val="List Bullet 2"/>
    <w:basedOn w:val="a1"/>
    <w:autoRedefine/>
    <w:pPr>
      <w:tabs>
        <w:tab w:val="left" w:pos="643"/>
      </w:tabs>
      <w:ind w:left="643" w:hanging="360"/>
    </w:pPr>
    <w:rPr>
      <w:color w:val="000000"/>
    </w:rPr>
  </w:style>
  <w:style w:type="paragraph" w:styleId="38">
    <w:name w:val="List Bullet 3"/>
    <w:basedOn w:val="a1"/>
    <w:autoRedefine/>
    <w:pPr>
      <w:tabs>
        <w:tab w:val="left" w:pos="926"/>
      </w:tabs>
      <w:ind w:left="926" w:hanging="360"/>
    </w:pPr>
    <w:rPr>
      <w:color w:val="000000"/>
    </w:rPr>
  </w:style>
  <w:style w:type="character" w:customStyle="1" w:styleId="afff5">
    <w:name w:val="номер страницы"/>
    <w:basedOn w:val="a2"/>
  </w:style>
  <w:style w:type="paragraph" w:customStyle="1" w:styleId="111">
    <w:name w:val="Пункт 1.1"/>
    <w:basedOn w:val="a1"/>
    <w:pPr>
      <w:autoSpaceDE w:val="0"/>
      <w:spacing w:before="120"/>
      <w:ind w:firstLine="709"/>
      <w:jc w:val="both"/>
    </w:pPr>
    <w:rPr>
      <w:sz w:val="24"/>
      <w:szCs w:val="24"/>
    </w:rPr>
  </w:style>
  <w:style w:type="paragraph" w:styleId="afff6">
    <w:name w:val="Block Text"/>
    <w:basedOn w:val="a1"/>
    <w:pPr>
      <w:spacing w:line="360" w:lineRule="auto"/>
      <w:ind w:left="720" w:right="-567"/>
      <w:jc w:val="both"/>
    </w:pPr>
    <w:rPr>
      <w:sz w:val="24"/>
      <w:szCs w:val="24"/>
    </w:rPr>
  </w:style>
  <w:style w:type="paragraph" w:styleId="42">
    <w:name w:val="List Continue 4"/>
    <w:basedOn w:val="a1"/>
    <w:pPr>
      <w:spacing w:after="120"/>
      <w:ind w:left="1132"/>
    </w:pPr>
    <w:rPr>
      <w:color w:val="000000"/>
    </w:rPr>
  </w:style>
  <w:style w:type="paragraph" w:customStyle="1" w:styleId="-">
    <w:name w:val="Основной текст - современный"/>
    <w:basedOn w:val="a1"/>
    <w:pPr>
      <w:spacing w:after="200" w:line="260" w:lineRule="exact"/>
    </w:pPr>
    <w:rPr>
      <w:sz w:val="24"/>
      <w:szCs w:val="24"/>
    </w:rPr>
  </w:style>
  <w:style w:type="paragraph" w:customStyle="1" w:styleId="211">
    <w:name w:val="Основной текст 21"/>
    <w:basedOn w:val="a1"/>
    <w:pPr>
      <w:widowControl w:val="0"/>
      <w:spacing w:line="360" w:lineRule="auto"/>
      <w:ind w:firstLine="720"/>
      <w:jc w:val="both"/>
    </w:pPr>
    <w:rPr>
      <w:sz w:val="28"/>
    </w:rPr>
  </w:style>
  <w:style w:type="paragraph" w:customStyle="1" w:styleId="H4">
    <w:name w:val="H4"/>
    <w:basedOn w:val="a1"/>
    <w:next w:val="a1"/>
    <w:pPr>
      <w:keepNext/>
      <w:spacing w:before="100" w:after="100"/>
      <w:outlineLvl w:val="4"/>
    </w:pPr>
    <w:rPr>
      <w:b/>
      <w:sz w:val="24"/>
    </w:rPr>
  </w:style>
  <w:style w:type="paragraph" w:customStyle="1" w:styleId="afff7">
    <w:name w:val="о"/>
    <w:basedOn w:val="a1"/>
    <w:pPr>
      <w:spacing w:line="360" w:lineRule="auto"/>
      <w:ind w:firstLine="709"/>
      <w:jc w:val="both"/>
    </w:pPr>
    <w:rPr>
      <w:sz w:val="24"/>
      <w:szCs w:val="24"/>
    </w:rPr>
  </w:style>
  <w:style w:type="character" w:customStyle="1" w:styleId="afff8">
    <w:name w:val="о Знак"/>
    <w:basedOn w:val="a2"/>
    <w:rPr>
      <w:rFonts w:ascii="Times New Roman" w:eastAsia="Times New Roman" w:hAnsi="Times New Roman" w:cs="Times New Roman"/>
      <w:sz w:val="24"/>
      <w:szCs w:val="24"/>
      <w:lang w:eastAsia="ru-RU"/>
    </w:rPr>
  </w:style>
  <w:style w:type="paragraph" w:customStyle="1" w:styleId="1c">
    <w:name w:val="Знак Знак Знак1 Знак"/>
    <w:basedOn w:val="a1"/>
    <w:autoRedefine/>
    <w:pPr>
      <w:spacing w:after="160" w:line="240" w:lineRule="exact"/>
    </w:pPr>
    <w:rPr>
      <w:rFonts w:eastAsia="SimSun"/>
      <w:b/>
      <w:sz w:val="24"/>
      <w:szCs w:val="24"/>
      <w:lang w:eastAsia="en-US"/>
    </w:rPr>
  </w:style>
  <w:style w:type="paragraph" w:customStyle="1" w:styleId="afff9">
    <w:name w:val="БДО Столбец по ширине"/>
    <w:basedOn w:val="a1"/>
    <w:pPr>
      <w:jc w:val="both"/>
    </w:pPr>
    <w:rPr>
      <w:rFonts w:ascii="Garamond" w:hAnsi="Garamond"/>
      <w:bCs/>
    </w:rPr>
  </w:style>
  <w:style w:type="character" w:customStyle="1" w:styleId="afffa">
    <w:name w:val="БДО Столбец по ширине Знак"/>
    <w:basedOn w:val="a2"/>
    <w:rPr>
      <w:rFonts w:ascii="Garamond" w:eastAsia="Times New Roman" w:hAnsi="Garamond" w:cs="Times New Roman"/>
      <w:bCs/>
      <w:sz w:val="20"/>
      <w:szCs w:val="20"/>
      <w:lang w:eastAsia="ru-RU"/>
    </w:rPr>
  </w:style>
  <w:style w:type="paragraph" w:customStyle="1" w:styleId="afffb">
    <w:name w:val="ТП Обычный"/>
    <w:basedOn w:val="a1"/>
    <w:pPr>
      <w:spacing w:before="60" w:after="60"/>
      <w:ind w:firstLine="709"/>
      <w:jc w:val="both"/>
    </w:pPr>
    <w:rPr>
      <w:rFonts w:ascii="Arial" w:hAnsi="Arial"/>
      <w:szCs w:val="24"/>
      <w:lang w:val="en-US"/>
    </w:rPr>
  </w:style>
  <w:style w:type="character" w:customStyle="1" w:styleId="mtext1">
    <w:name w:val="m_text1"/>
    <w:basedOn w:val="a2"/>
    <w:rPr>
      <w:rFonts w:ascii="Tahoma" w:hAnsi="Tahoma" w:cs="Tahoma"/>
      <w:color w:val="494949"/>
      <w:sz w:val="20"/>
      <w:szCs w:val="20"/>
    </w:rPr>
  </w:style>
  <w:style w:type="paragraph" w:customStyle="1" w:styleId="afffc">
    <w:name w:val="Письмо"/>
    <w:basedOn w:val="afffd"/>
  </w:style>
  <w:style w:type="paragraph" w:styleId="afffd">
    <w:name w:val="Message Header"/>
    <w:basedOn w:val="a1"/>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szCs w:val="24"/>
    </w:rPr>
  </w:style>
  <w:style w:type="character" w:customStyle="1" w:styleId="afffe">
    <w:name w:val="Шапка Знак"/>
    <w:basedOn w:val="a2"/>
    <w:rPr>
      <w:rFonts w:ascii="Arial" w:eastAsia="Times New Roman" w:hAnsi="Arial" w:cs="Arial"/>
      <w:sz w:val="24"/>
      <w:szCs w:val="24"/>
      <w:shd w:val="clear" w:color="auto" w:fill="auto"/>
      <w:lang w:eastAsia="ru-RU"/>
    </w:rPr>
  </w:style>
  <w:style w:type="character" w:customStyle="1" w:styleId="1d">
    <w:name w:val="Обычный1 Знак"/>
    <w:basedOn w:val="a2"/>
    <w:rPr>
      <w:sz w:val="28"/>
      <w:lang w:val="ru-RU" w:eastAsia="ru-RU" w:bidi="ar-SA"/>
    </w:rPr>
  </w:style>
  <w:style w:type="paragraph" w:customStyle="1" w:styleId="BodyText21">
    <w:name w:val="Body Text 21"/>
    <w:basedOn w:val="a1"/>
    <w:pPr>
      <w:overflowPunct w:val="0"/>
      <w:autoSpaceDE w:val="0"/>
      <w:spacing w:line="360" w:lineRule="auto"/>
      <w:ind w:firstLine="426"/>
      <w:jc w:val="both"/>
    </w:pPr>
    <w:rPr>
      <w:sz w:val="24"/>
    </w:rPr>
  </w:style>
  <w:style w:type="paragraph" w:customStyle="1" w:styleId="54">
    <w:name w:val="заголовок 5"/>
    <w:basedOn w:val="a1"/>
    <w:next w:val="a1"/>
    <w:pPr>
      <w:keepNext/>
      <w:widowControl w:val="0"/>
      <w:spacing w:before="120"/>
      <w:jc w:val="center"/>
    </w:pPr>
    <w:rPr>
      <w:b/>
      <w:sz w:val="24"/>
    </w:rPr>
  </w:style>
  <w:style w:type="character" w:customStyle="1" w:styleId="newstext">
    <w:name w:val="newstext"/>
    <w:basedOn w:val="a2"/>
  </w:style>
  <w:style w:type="paragraph" w:styleId="affff">
    <w:name w:val="annotation text"/>
    <w:basedOn w:val="a1"/>
  </w:style>
  <w:style w:type="character" w:customStyle="1" w:styleId="affff0">
    <w:name w:val="Текст примечания Знак"/>
    <w:basedOn w:val="a2"/>
    <w:rPr>
      <w:rFonts w:ascii="Times New Roman" w:eastAsia="Times New Roman" w:hAnsi="Times New Roman" w:cs="Times New Roman"/>
      <w:sz w:val="20"/>
      <w:szCs w:val="20"/>
      <w:lang w:eastAsia="ru-RU"/>
    </w:rPr>
  </w:style>
  <w:style w:type="paragraph" w:customStyle="1" w:styleId="1TimesNewRoman">
    <w:name w:val="Стиль Заголовок 1 + Times New Roman не полужирный"/>
    <w:basedOn w:val="13"/>
    <w:pPr>
      <w:keepLines w:val="0"/>
      <w:spacing w:before="240" w:after="60" w:line="360" w:lineRule="auto"/>
      <w:jc w:val="left"/>
    </w:pPr>
    <w:rPr>
      <w:rFonts w:ascii="Times New Roman" w:hAnsi="Times New Roman" w:cs="Arial"/>
      <w:bCs w:val="0"/>
      <w:color w:val="auto"/>
      <w:kern w:val="3"/>
      <w:sz w:val="24"/>
      <w:szCs w:val="32"/>
    </w:rPr>
  </w:style>
  <w:style w:type="paragraph" w:customStyle="1" w:styleId="affff1">
    <w:name w:val="Основной текст с отс"/>
    <w:basedOn w:val="a1"/>
    <w:pPr>
      <w:widowControl w:val="0"/>
      <w:ind w:firstLine="709"/>
    </w:pPr>
    <w:rPr>
      <w:sz w:val="24"/>
      <w:szCs w:val="24"/>
    </w:rPr>
  </w:style>
  <w:style w:type="character" w:customStyle="1" w:styleId="Normal">
    <w:name w:val="Normal Знак"/>
    <w:rPr>
      <w:rFonts w:ascii="Times New Roman" w:eastAsia="Times New Roman" w:hAnsi="Times New Roman" w:cs="Times New Roman"/>
      <w:sz w:val="24"/>
      <w:szCs w:val="20"/>
      <w:lang w:eastAsia="ru-RU"/>
    </w:rPr>
  </w:style>
  <w:style w:type="character" w:customStyle="1" w:styleId="2c">
    <w:name w:val="Текст сноски Знак2"/>
    <w:rPr>
      <w:rFonts w:ascii="Tahoma" w:eastAsia="Times New Roman" w:hAnsi="Tahoma" w:cs="Tahoma"/>
      <w:sz w:val="16"/>
      <w:szCs w:val="20"/>
      <w:lang w:eastAsia="ru-RU"/>
    </w:rPr>
  </w:style>
  <w:style w:type="character" w:customStyle="1" w:styleId="avg-0">
    <w:name w:val="avg-Обычный Знак"/>
    <w:basedOn w:val="a2"/>
    <w:rPr>
      <w:rFonts w:ascii="Arial" w:eastAsia="Times New Roman" w:hAnsi="Arial"/>
    </w:rPr>
  </w:style>
  <w:style w:type="paragraph" w:customStyle="1" w:styleId="avg-1">
    <w:name w:val="avg-Обычный"/>
    <w:basedOn w:val="a1"/>
    <w:pPr>
      <w:spacing w:before="120" w:after="120"/>
      <w:jc w:val="both"/>
    </w:pPr>
    <w:rPr>
      <w:rFonts w:ascii="Arial" w:hAnsi="Arial"/>
      <w:sz w:val="22"/>
      <w:szCs w:val="22"/>
      <w:lang w:eastAsia="en-US"/>
    </w:rPr>
  </w:style>
  <w:style w:type="paragraph" w:customStyle="1" w:styleId="1e">
    <w:name w:val="Цитата1"/>
    <w:basedOn w:val="a1"/>
    <w:pPr>
      <w:tabs>
        <w:tab w:val="left" w:pos="5245"/>
      </w:tabs>
      <w:ind w:left="1418" w:right="226"/>
    </w:pPr>
    <w:rPr>
      <w:rFonts w:eastAsia="Calibri"/>
      <w:sz w:val="24"/>
      <w:lang w:eastAsia="ar-SA"/>
    </w:rPr>
  </w:style>
  <w:style w:type="paragraph" w:customStyle="1" w:styleId="affff2">
    <w:name w:val="Подраздел"/>
    <w:basedOn w:val="2"/>
    <w:autoRedefine/>
    <w:pPr>
      <w:numPr>
        <w:ilvl w:val="0"/>
        <w:numId w:val="0"/>
      </w:numPr>
      <w:spacing w:before="0" w:after="0" w:line="360" w:lineRule="auto"/>
      <w:ind w:firstLine="709"/>
      <w:jc w:val="both"/>
    </w:pPr>
    <w:rPr>
      <w:rFonts w:ascii="Times New Roman" w:hAnsi="Times New Roman" w:cs="Arial"/>
      <w:bCs/>
      <w:iCs/>
      <w:color w:val="auto"/>
      <w:sz w:val="24"/>
      <w:szCs w:val="24"/>
    </w:rPr>
  </w:style>
  <w:style w:type="character" w:customStyle="1" w:styleId="affff3">
    <w:name w:val="Подраздел Знак"/>
    <w:rPr>
      <w:rFonts w:ascii="Times New Roman" w:eastAsia="Times New Roman" w:hAnsi="Times New Roman" w:cs="Arial"/>
      <w:bCs/>
      <w:iCs/>
      <w:sz w:val="24"/>
      <w:szCs w:val="24"/>
      <w:lang w:eastAsia="ru-RU"/>
    </w:rPr>
  </w:style>
  <w:style w:type="paragraph" w:customStyle="1" w:styleId="affff4">
    <w:name w:val="Таблица в ФСО"/>
    <w:basedOn w:val="a1"/>
    <w:pPr>
      <w:spacing w:after="120"/>
      <w:jc w:val="right"/>
    </w:pPr>
    <w:rPr>
      <w:b/>
      <w:sz w:val="24"/>
      <w:szCs w:val="24"/>
    </w:rPr>
  </w:style>
  <w:style w:type="character" w:customStyle="1" w:styleId="affff5">
    <w:name w:val="Таблица в ФСО Знак"/>
    <w:basedOn w:val="a2"/>
    <w:rPr>
      <w:rFonts w:ascii="Times New Roman" w:eastAsia="Times New Roman" w:hAnsi="Times New Roman" w:cs="Times New Roman"/>
      <w:b/>
      <w:sz w:val="24"/>
      <w:szCs w:val="24"/>
      <w:lang w:eastAsia="ru-RU"/>
    </w:rPr>
  </w:style>
  <w:style w:type="paragraph" w:customStyle="1" w:styleId="affff6">
    <w:name w:val="Левая часть"/>
    <w:basedOn w:val="2"/>
    <w:pPr>
      <w:keepNext w:val="0"/>
      <w:numPr>
        <w:ilvl w:val="0"/>
        <w:numId w:val="0"/>
      </w:numPr>
      <w:spacing w:after="0" w:line="240" w:lineRule="exact"/>
    </w:pPr>
    <w:rPr>
      <w:rFonts w:ascii="Times New Roman" w:hAnsi="Times New Roman"/>
      <w:color w:val="auto"/>
      <w:sz w:val="24"/>
    </w:rPr>
  </w:style>
  <w:style w:type="paragraph" w:customStyle="1" w:styleId="43">
    <w:name w:val="Обычный4"/>
    <w:pPr>
      <w:widowControl w:val="0"/>
      <w:suppressAutoHyphens/>
      <w:spacing w:after="0" w:line="240" w:lineRule="auto"/>
    </w:pPr>
    <w:rPr>
      <w:rFonts w:ascii="Times New Roman" w:eastAsia="Times New Roman" w:hAnsi="Times New Roman"/>
      <w:sz w:val="20"/>
      <w:szCs w:val="20"/>
      <w:lang w:eastAsia="ru-RU"/>
    </w:rPr>
  </w:style>
  <w:style w:type="character" w:customStyle="1" w:styleId="2d">
    <w:name w:val="Обычный (веб) Знак2"/>
    <w:basedOn w:val="a2"/>
    <w:rPr>
      <w:rFonts w:ascii="Times New Roman" w:eastAsia="Times New Roman" w:hAnsi="Times New Roman" w:cs="Times New Roman"/>
      <w:sz w:val="24"/>
      <w:szCs w:val="24"/>
      <w:lang w:eastAsia="ru-RU"/>
    </w:rPr>
  </w:style>
  <w:style w:type="paragraph" w:customStyle="1" w:styleId="affff7">
    <w:name w:val="Табл"/>
    <w:basedOn w:val="a1"/>
    <w:pPr>
      <w:jc w:val="right"/>
    </w:pPr>
    <w:rPr>
      <w:rFonts w:ascii="Tahoma" w:hAnsi="Tahoma"/>
      <w:sz w:val="14"/>
      <w:szCs w:val="18"/>
    </w:rPr>
  </w:style>
  <w:style w:type="character" w:customStyle="1" w:styleId="affff8">
    <w:name w:val="Табл Знак"/>
    <w:basedOn w:val="a2"/>
    <w:rPr>
      <w:rFonts w:ascii="Tahoma" w:eastAsia="Times New Roman" w:hAnsi="Tahoma" w:cs="Times New Roman"/>
      <w:sz w:val="14"/>
      <w:szCs w:val="18"/>
      <w:lang w:eastAsia="ru-RU"/>
    </w:rPr>
  </w:style>
  <w:style w:type="paragraph" w:customStyle="1" w:styleId="1f">
    <w:name w:val="БДО Марк 1"/>
    <w:basedOn w:val="a1"/>
    <w:next w:val="a1"/>
    <w:pPr>
      <w:tabs>
        <w:tab w:val="left" w:pos="357"/>
      </w:tabs>
      <w:spacing w:before="120" w:line="312" w:lineRule="auto"/>
      <w:ind w:left="357" w:hanging="357"/>
      <w:jc w:val="both"/>
    </w:pPr>
    <w:rPr>
      <w:rFonts w:ascii="Garamond" w:hAnsi="Garamond"/>
      <w:sz w:val="24"/>
      <w:szCs w:val="24"/>
    </w:rPr>
  </w:style>
  <w:style w:type="character" w:customStyle="1" w:styleId="1f0">
    <w:name w:val="БДО Марк 1 Знак"/>
    <w:basedOn w:val="a2"/>
    <w:rPr>
      <w:rFonts w:ascii="Garamond" w:eastAsia="Times New Roman" w:hAnsi="Garamond" w:cs="Times New Roman"/>
      <w:sz w:val="24"/>
      <w:szCs w:val="24"/>
      <w:lang w:eastAsia="ru-RU"/>
    </w:rPr>
  </w:style>
  <w:style w:type="character" w:customStyle="1" w:styleId="2e">
    <w:name w:val="Название объекта Знак2"/>
    <w:rPr>
      <w:rFonts w:ascii="Times New Roman" w:eastAsia="Times New Roman" w:hAnsi="Times New Roman" w:cs="Times New Roman"/>
      <w:b/>
      <w:bCs/>
      <w:i/>
      <w:sz w:val="28"/>
      <w:szCs w:val="18"/>
      <w:lang w:eastAsia="ru-RU"/>
    </w:rPr>
  </w:style>
  <w:style w:type="paragraph" w:customStyle="1" w:styleId="11111">
    <w:name w:val="1.1.1.1.1."/>
    <w:basedOn w:val="ab"/>
    <w:pPr>
      <w:ind w:left="2232" w:hanging="792"/>
      <w:jc w:val="both"/>
    </w:pPr>
    <w:rPr>
      <w:rFonts w:ascii="Cambria" w:hAnsi="Cambria" w:cs="Cambria"/>
      <w:b/>
      <w:szCs w:val="28"/>
    </w:rPr>
  </w:style>
  <w:style w:type="paragraph" w:customStyle="1" w:styleId="1111">
    <w:name w:val="1.1.1.1."/>
    <w:basedOn w:val="4"/>
    <w:pPr>
      <w:keepLines/>
      <w:numPr>
        <w:ilvl w:val="0"/>
        <w:numId w:val="0"/>
      </w:numPr>
      <w:spacing w:before="200" w:after="240" w:line="276" w:lineRule="auto"/>
      <w:ind w:left="1728" w:hanging="648"/>
    </w:pPr>
    <w:rPr>
      <w:b/>
      <w:bCs/>
      <w:color w:val="auto"/>
      <w:sz w:val="28"/>
      <w:szCs w:val="28"/>
    </w:rPr>
  </w:style>
  <w:style w:type="paragraph" w:customStyle="1" w:styleId="1110">
    <w:name w:val="1.1.1."/>
    <w:basedOn w:val="3"/>
    <w:pPr>
      <w:keepLines/>
      <w:numPr>
        <w:ilvl w:val="0"/>
        <w:numId w:val="0"/>
      </w:numPr>
      <w:spacing w:before="200" w:after="240" w:line="360" w:lineRule="auto"/>
      <w:ind w:left="1224" w:hanging="504"/>
    </w:pPr>
    <w:rPr>
      <w:b/>
      <w:bCs/>
      <w:color w:val="auto"/>
      <w:sz w:val="28"/>
      <w:szCs w:val="28"/>
    </w:rPr>
  </w:style>
  <w:style w:type="character" w:styleId="affff9">
    <w:name w:val="annotation reference"/>
    <w:basedOn w:val="a2"/>
    <w:rPr>
      <w:sz w:val="16"/>
      <w:szCs w:val="16"/>
    </w:rPr>
  </w:style>
  <w:style w:type="paragraph" w:styleId="affffa">
    <w:name w:val="annotation subject"/>
    <w:basedOn w:val="affff"/>
    <w:next w:val="affff"/>
    <w:pPr>
      <w:ind w:firstLine="709"/>
      <w:jc w:val="both"/>
    </w:pPr>
    <w:rPr>
      <w:b/>
      <w:bCs/>
    </w:rPr>
  </w:style>
  <w:style w:type="character" w:customStyle="1" w:styleId="affffb">
    <w:name w:val="Тема примечания Знак"/>
    <w:basedOn w:val="affff0"/>
    <w:rPr>
      <w:rFonts w:ascii="Times New Roman" w:eastAsia="Times New Roman" w:hAnsi="Times New Roman" w:cs="Times New Roman"/>
      <w:b/>
      <w:bCs/>
      <w:sz w:val="20"/>
      <w:szCs w:val="20"/>
      <w:lang w:eastAsia="ru-RU"/>
    </w:rPr>
  </w:style>
  <w:style w:type="character" w:customStyle="1" w:styleId="212">
    <w:name w:val="Заголовок 2 Знак1"/>
    <w:rPr>
      <w:rFonts w:ascii="Arial" w:hAnsi="Arial"/>
      <w:b/>
      <w:bCs/>
      <w:i/>
      <w:iCs/>
      <w:sz w:val="28"/>
      <w:szCs w:val="28"/>
    </w:rPr>
  </w:style>
  <w:style w:type="character" w:customStyle="1" w:styleId="311">
    <w:name w:val="Заголовок 3 Знак1"/>
    <w:basedOn w:val="a2"/>
    <w:rPr>
      <w:b/>
      <w:sz w:val="24"/>
    </w:rPr>
  </w:style>
  <w:style w:type="character" w:customStyle="1" w:styleId="1f1">
    <w:name w:val="Название объекта1 Знак"/>
    <w:basedOn w:val="a2"/>
    <w:rPr>
      <w:bCs/>
      <w:sz w:val="24"/>
    </w:rPr>
  </w:style>
  <w:style w:type="paragraph" w:customStyle="1" w:styleId="1f2">
    <w:name w:val="Абзац списка1"/>
    <w:basedOn w:val="a1"/>
    <w:pPr>
      <w:spacing w:after="200" w:line="276" w:lineRule="auto"/>
      <w:ind w:left="720" w:firstLine="709"/>
      <w:jc w:val="both"/>
    </w:pPr>
    <w:rPr>
      <w:rFonts w:ascii="Calibri" w:hAnsi="Calibri" w:cs="Calibri"/>
      <w:sz w:val="22"/>
      <w:szCs w:val="22"/>
      <w:lang w:eastAsia="en-US"/>
    </w:rPr>
  </w:style>
  <w:style w:type="paragraph" w:styleId="affffc">
    <w:name w:val="No Spacing"/>
    <w:pPr>
      <w:suppressAutoHyphens/>
      <w:spacing w:after="0" w:line="240" w:lineRule="auto"/>
    </w:pPr>
  </w:style>
  <w:style w:type="paragraph" w:customStyle="1" w:styleId="Normal0">
    <w:name w:val="Normal Знак Знак"/>
    <w:pPr>
      <w:suppressAutoHyphens/>
      <w:snapToGrid w:val="0"/>
      <w:spacing w:before="100" w:after="100" w:line="240" w:lineRule="auto"/>
    </w:pPr>
    <w:rPr>
      <w:rFonts w:ascii="Times New Roman" w:eastAsia="Times New Roman" w:hAnsi="Times New Roman"/>
      <w:sz w:val="24"/>
      <w:szCs w:val="20"/>
      <w:lang w:eastAsia="ru-RU"/>
    </w:rPr>
  </w:style>
  <w:style w:type="character" w:customStyle="1" w:styleId="Normal1">
    <w:name w:val="Normal Знак Знак Знак"/>
    <w:rPr>
      <w:rFonts w:ascii="Times New Roman" w:eastAsia="Times New Roman" w:hAnsi="Times New Roman" w:cs="Times New Roman"/>
      <w:sz w:val="24"/>
      <w:szCs w:val="20"/>
      <w:lang w:eastAsia="ru-RU"/>
    </w:rPr>
  </w:style>
  <w:style w:type="paragraph" w:styleId="affffd">
    <w:name w:val="Intense Quote"/>
    <w:basedOn w:val="a1"/>
    <w:next w:val="a1"/>
    <w:pPr>
      <w:pBdr>
        <w:bottom w:val="single" w:sz="4" w:space="4" w:color="4F81BD"/>
      </w:pBdr>
      <w:spacing w:before="200" w:after="280"/>
      <w:ind w:left="936" w:right="936"/>
    </w:pPr>
    <w:rPr>
      <w:b/>
      <w:bCs/>
      <w:i/>
      <w:iCs/>
      <w:color w:val="4F81BD"/>
      <w:sz w:val="24"/>
      <w:szCs w:val="24"/>
    </w:rPr>
  </w:style>
  <w:style w:type="character" w:customStyle="1" w:styleId="affffe">
    <w:name w:val="Выделенная цитата Знак"/>
    <w:basedOn w:val="a2"/>
    <w:rPr>
      <w:rFonts w:ascii="Times New Roman" w:eastAsia="Times New Roman" w:hAnsi="Times New Roman" w:cs="Times New Roman"/>
      <w:b/>
      <w:bCs/>
      <w:i/>
      <w:iCs/>
      <w:color w:val="4F81BD"/>
      <w:sz w:val="24"/>
      <w:szCs w:val="24"/>
      <w:lang w:eastAsia="ru-RU"/>
    </w:rPr>
  </w:style>
  <w:style w:type="paragraph" w:customStyle="1" w:styleId="leftpright">
    <w:name w:val="leftpright"/>
    <w:basedOn w:val="a1"/>
    <w:pPr>
      <w:spacing w:before="29" w:after="72"/>
      <w:ind w:left="115" w:right="72"/>
      <w:jc w:val="right"/>
    </w:pPr>
    <w:rPr>
      <w:rFonts w:ascii="MS Reference Sans Serif" w:hAnsi="MS Reference Sans Serif"/>
      <w:color w:val="808080"/>
      <w:sz w:val="17"/>
      <w:szCs w:val="17"/>
    </w:rPr>
  </w:style>
  <w:style w:type="paragraph" w:customStyle="1" w:styleId="vspom">
    <w:name w:val="vspom"/>
    <w:basedOn w:val="a1"/>
    <w:pPr>
      <w:spacing w:before="72" w:after="72" w:line="312" w:lineRule="auto"/>
      <w:ind w:right="144"/>
    </w:pPr>
    <w:rPr>
      <w:rFonts w:ascii="MS Reference Sans Serif" w:hAnsi="MS Reference Sans Serif"/>
      <w:color w:val="004BA8"/>
      <w:sz w:val="17"/>
      <w:szCs w:val="17"/>
    </w:rPr>
  </w:style>
  <w:style w:type="paragraph" w:customStyle="1" w:styleId="objprofile">
    <w:name w:val="obj_profile"/>
    <w:basedOn w:val="a1"/>
    <w:pPr>
      <w:spacing w:before="144" w:after="72" w:line="312" w:lineRule="auto"/>
      <w:ind w:right="144"/>
    </w:pPr>
    <w:rPr>
      <w:rFonts w:ascii="MS Reference Sans Serif" w:hAnsi="MS Reference Sans Serif"/>
      <w:color w:val="000000"/>
      <w:sz w:val="18"/>
      <w:szCs w:val="18"/>
    </w:rPr>
  </w:style>
  <w:style w:type="paragraph" w:customStyle="1" w:styleId="graytext">
    <w:name w:val="graytext"/>
    <w:basedOn w:val="a1"/>
    <w:pPr>
      <w:spacing w:before="144" w:after="72" w:line="312" w:lineRule="auto"/>
      <w:ind w:right="72"/>
    </w:pPr>
    <w:rPr>
      <w:rFonts w:ascii="MS Reference Sans Serif" w:hAnsi="MS Reference Sans Serif"/>
      <w:color w:val="808080"/>
      <w:sz w:val="16"/>
      <w:szCs w:val="16"/>
    </w:rPr>
  </w:style>
  <w:style w:type="character" w:customStyle="1" w:styleId="center2">
    <w:name w:val="center2"/>
    <w:basedOn w:val="a2"/>
  </w:style>
  <w:style w:type="character" w:customStyle="1" w:styleId="apple-style-span">
    <w:name w:val="apple-style-span"/>
    <w:basedOn w:val="a2"/>
    <w:rPr>
      <w:rFonts w:cs="Times New Roman"/>
    </w:rPr>
  </w:style>
  <w:style w:type="paragraph" w:customStyle="1" w:styleId="Avg-2">
    <w:name w:val="Avg - пункт"/>
    <w:basedOn w:val="avg-1"/>
    <w:pPr>
      <w:keepNext/>
    </w:pPr>
    <w:rPr>
      <w:b/>
    </w:rPr>
  </w:style>
  <w:style w:type="paragraph" w:customStyle="1" w:styleId="avg-">
    <w:name w:val="avg-Список маркированный"/>
    <w:basedOn w:val="avg-1"/>
    <w:pPr>
      <w:numPr>
        <w:numId w:val="12"/>
      </w:numPr>
      <w:tabs>
        <w:tab w:val="left" w:pos="360"/>
        <w:tab w:val="left" w:pos="720"/>
        <w:tab w:val="left" w:pos="1980"/>
      </w:tabs>
    </w:pPr>
    <w:rPr>
      <w:rFonts w:cs="Arial"/>
    </w:rPr>
  </w:style>
  <w:style w:type="paragraph" w:customStyle="1" w:styleId="avg-2-">
    <w:name w:val="avg-Список маркированный 2-й уровень"/>
    <w:basedOn w:val="avg-"/>
    <w:pPr>
      <w:numPr>
        <w:numId w:val="13"/>
      </w:numPr>
      <w:tabs>
        <w:tab w:val="left" w:pos="1440"/>
        <w:tab w:val="left" w:pos="2007"/>
      </w:tabs>
      <w:spacing w:line="216" w:lineRule="auto"/>
    </w:pPr>
  </w:style>
  <w:style w:type="character" w:customStyle="1" w:styleId="apple-converted-space">
    <w:name w:val="apple-converted-space"/>
    <w:basedOn w:val="a2"/>
  </w:style>
  <w:style w:type="paragraph" w:customStyle="1" w:styleId="afffff">
    <w:name w:val="Осн. текст Знак"/>
    <w:basedOn w:val="a1"/>
    <w:pPr>
      <w:spacing w:line="360" w:lineRule="auto"/>
      <w:ind w:firstLine="720"/>
      <w:jc w:val="both"/>
    </w:pPr>
    <w:rPr>
      <w:sz w:val="24"/>
      <w:szCs w:val="24"/>
    </w:rPr>
  </w:style>
  <w:style w:type="character" w:customStyle="1" w:styleId="red">
    <w:name w:val="red"/>
    <w:basedOn w:val="a2"/>
  </w:style>
  <w:style w:type="paragraph" w:customStyle="1" w:styleId="intro">
    <w:name w:val="intro"/>
    <w:basedOn w:val="a1"/>
    <w:pPr>
      <w:spacing w:before="100" w:after="100"/>
    </w:pPr>
    <w:rPr>
      <w:sz w:val="24"/>
      <w:szCs w:val="24"/>
    </w:rPr>
  </w:style>
  <w:style w:type="paragraph" w:customStyle="1" w:styleId="announce">
    <w:name w:val="announce"/>
    <w:basedOn w:val="a1"/>
    <w:pPr>
      <w:spacing w:before="144" w:after="216"/>
    </w:pPr>
    <w:rPr>
      <w:color w:val="848484"/>
      <w:sz w:val="24"/>
      <w:szCs w:val="24"/>
    </w:rPr>
  </w:style>
  <w:style w:type="paragraph" w:customStyle="1" w:styleId="avg-3">
    <w:name w:val="avg-Таблица текст по ширине"/>
    <w:basedOn w:val="avg-4"/>
    <w:pPr>
      <w:jc w:val="both"/>
    </w:pPr>
  </w:style>
  <w:style w:type="paragraph" w:customStyle="1" w:styleId="avg-4">
    <w:name w:val="avg-Таблица текст"/>
    <w:basedOn w:val="a1"/>
    <w:pPr>
      <w:spacing w:line="0" w:lineRule="atLeast"/>
      <w:jc w:val="center"/>
    </w:pPr>
    <w:rPr>
      <w:rFonts w:ascii="Arial" w:hAnsi="Arial"/>
      <w:szCs w:val="24"/>
    </w:rPr>
  </w:style>
  <w:style w:type="paragraph" w:customStyle="1" w:styleId="avg--">
    <w:name w:val="avg-Таблица-Шапка"/>
    <w:basedOn w:val="avg-4"/>
    <w:pPr>
      <w:keepNext/>
    </w:pPr>
    <w:rPr>
      <w:b/>
    </w:rPr>
  </w:style>
  <w:style w:type="paragraph" w:styleId="afffff0">
    <w:name w:val="table of figures"/>
    <w:basedOn w:val="a1"/>
    <w:next w:val="a1"/>
    <w:rPr>
      <w:sz w:val="24"/>
      <w:szCs w:val="24"/>
    </w:rPr>
  </w:style>
  <w:style w:type="paragraph" w:customStyle="1" w:styleId="Style5">
    <w:name w:val="Style5"/>
    <w:basedOn w:val="a1"/>
    <w:pPr>
      <w:widowControl w:val="0"/>
      <w:autoSpaceDE w:val="0"/>
      <w:spacing w:line="230" w:lineRule="exact"/>
      <w:jc w:val="center"/>
    </w:pPr>
    <w:rPr>
      <w:sz w:val="24"/>
      <w:szCs w:val="24"/>
    </w:rPr>
  </w:style>
  <w:style w:type="character" w:customStyle="1" w:styleId="ListParagraphChar">
    <w:name w:val="List Paragraph Char"/>
    <w:basedOn w:val="a2"/>
    <w:rPr>
      <w:rFonts w:ascii="Calibri" w:eastAsia="Times New Roman" w:hAnsi="Calibri" w:cs="Calibri"/>
    </w:rPr>
  </w:style>
  <w:style w:type="paragraph" w:customStyle="1" w:styleId="BDO">
    <w:name w:val="BDO Абзац простой"/>
    <w:basedOn w:val="a1"/>
    <w:pPr>
      <w:widowControl w:val="0"/>
      <w:spacing w:before="120" w:line="312" w:lineRule="auto"/>
      <w:ind w:firstLine="709"/>
      <w:jc w:val="both"/>
    </w:pPr>
    <w:rPr>
      <w:rFonts w:ascii="Garamond" w:hAnsi="Garamond"/>
      <w:sz w:val="24"/>
      <w:szCs w:val="24"/>
    </w:rPr>
  </w:style>
  <w:style w:type="character" w:customStyle="1" w:styleId="BDO0">
    <w:name w:val="BDO Абзац простой Знак"/>
    <w:basedOn w:val="a2"/>
    <w:rPr>
      <w:rFonts w:ascii="Garamond" w:eastAsia="Times New Roman" w:hAnsi="Garamond" w:cs="Times New Roman"/>
      <w:sz w:val="24"/>
      <w:szCs w:val="24"/>
      <w:lang w:eastAsia="ru-RU"/>
    </w:rPr>
  </w:style>
  <w:style w:type="paragraph" w:customStyle="1" w:styleId="afffff1">
    <w:name w:val="БДО Название таблицы"/>
    <w:basedOn w:val="a1"/>
    <w:pPr>
      <w:widowControl w:val="0"/>
      <w:spacing w:before="120" w:after="240" w:line="312" w:lineRule="auto"/>
      <w:ind w:firstLine="709"/>
      <w:jc w:val="center"/>
    </w:pPr>
    <w:rPr>
      <w:rFonts w:ascii="Garamond" w:hAnsi="Garamond"/>
      <w:b/>
      <w:sz w:val="24"/>
      <w:szCs w:val="24"/>
    </w:rPr>
  </w:style>
  <w:style w:type="paragraph" w:customStyle="1" w:styleId="1f3">
    <w:name w:val="Маркированный 1"/>
    <w:basedOn w:val="a1"/>
    <w:pPr>
      <w:widowControl w:val="0"/>
      <w:spacing w:before="120" w:line="312" w:lineRule="auto"/>
      <w:ind w:left="924" w:hanging="357"/>
      <w:jc w:val="both"/>
    </w:pPr>
    <w:rPr>
      <w:rFonts w:ascii="Tahoma" w:hAnsi="Tahoma"/>
      <w:kern w:val="3"/>
    </w:rPr>
  </w:style>
  <w:style w:type="paragraph" w:customStyle="1" w:styleId="afffff2">
    <w:name w:val="БДО Абзац простой"/>
    <w:basedOn w:val="a1"/>
    <w:pPr>
      <w:widowControl w:val="0"/>
      <w:spacing w:line="312" w:lineRule="auto"/>
      <w:ind w:firstLine="709"/>
      <w:jc w:val="both"/>
    </w:pPr>
    <w:rPr>
      <w:rFonts w:ascii="Garamond" w:hAnsi="Garamond"/>
      <w:sz w:val="24"/>
      <w:szCs w:val="24"/>
    </w:rPr>
  </w:style>
  <w:style w:type="character" w:customStyle="1" w:styleId="afffff3">
    <w:name w:val="БДО Абзац простой Знак Знак"/>
    <w:basedOn w:val="a2"/>
    <w:rPr>
      <w:rFonts w:ascii="Garamond" w:eastAsia="Times New Roman" w:hAnsi="Garamond" w:cs="Times New Roman"/>
      <w:sz w:val="24"/>
      <w:szCs w:val="24"/>
      <w:lang w:eastAsia="ru-RU"/>
    </w:rPr>
  </w:style>
  <w:style w:type="paragraph" w:customStyle="1" w:styleId="afffff4">
    <w:name w:val="обычный текст"/>
    <w:basedOn w:val="a1"/>
    <w:pPr>
      <w:widowControl w:val="0"/>
      <w:spacing w:line="312" w:lineRule="auto"/>
      <w:ind w:firstLine="709"/>
      <w:jc w:val="both"/>
    </w:pPr>
    <w:rPr>
      <w:rFonts w:ascii="Garamond" w:hAnsi="Garamond"/>
      <w:sz w:val="24"/>
      <w:szCs w:val="24"/>
    </w:rPr>
  </w:style>
  <w:style w:type="character" w:customStyle="1" w:styleId="afffff5">
    <w:name w:val="обычный текст Знак"/>
    <w:basedOn w:val="a2"/>
    <w:rPr>
      <w:rFonts w:ascii="Garamond" w:eastAsia="Times New Roman" w:hAnsi="Garamond" w:cs="Times New Roman"/>
      <w:sz w:val="24"/>
      <w:szCs w:val="24"/>
      <w:lang w:eastAsia="ru-RU"/>
    </w:rPr>
  </w:style>
  <w:style w:type="paragraph" w:customStyle="1" w:styleId="1f4">
    <w:name w:val="БДО Заголовок 1"/>
    <w:basedOn w:val="a1"/>
    <w:pPr>
      <w:widowControl w:val="0"/>
      <w:tabs>
        <w:tab w:val="left" w:pos="550"/>
      </w:tabs>
      <w:spacing w:before="120" w:line="312" w:lineRule="auto"/>
      <w:ind w:firstLine="709"/>
      <w:jc w:val="center"/>
    </w:pPr>
    <w:rPr>
      <w:b/>
      <w:sz w:val="36"/>
      <w:szCs w:val="32"/>
    </w:rPr>
  </w:style>
  <w:style w:type="paragraph" w:customStyle="1" w:styleId="2f">
    <w:name w:val="БДО Заголовок 2"/>
    <w:basedOn w:val="1f4"/>
    <w:rPr>
      <w:sz w:val="24"/>
      <w:szCs w:val="24"/>
    </w:rPr>
  </w:style>
  <w:style w:type="paragraph" w:customStyle="1" w:styleId="39">
    <w:name w:val="БДО Заголовок 3"/>
    <w:basedOn w:val="2f"/>
    <w:pPr>
      <w:tabs>
        <w:tab w:val="clear" w:pos="550"/>
        <w:tab w:val="left" w:pos="720"/>
      </w:tabs>
    </w:pPr>
  </w:style>
  <w:style w:type="paragraph" w:customStyle="1" w:styleId="1f5">
    <w:name w:val="Заголовок оглавления1"/>
    <w:basedOn w:val="13"/>
    <w:next w:val="a1"/>
    <w:pPr>
      <w:widowControl w:val="0"/>
      <w:spacing w:after="0" w:line="276" w:lineRule="auto"/>
      <w:jc w:val="left"/>
    </w:pPr>
    <w:rPr>
      <w:color w:val="365F91"/>
      <w:sz w:val="28"/>
      <w:lang w:eastAsia="en-US"/>
    </w:rPr>
  </w:style>
  <w:style w:type="character" w:customStyle="1" w:styleId="1f6">
    <w:name w:val="Оглавление 1 Знак"/>
    <w:basedOn w:val="a2"/>
    <w:rPr>
      <w:rFonts w:ascii="Times New Roman" w:eastAsia="Times New Roman" w:hAnsi="Times New Roman" w:cs="Times New Roman"/>
      <w:b/>
      <w:bCs/>
      <w:caps/>
      <w:sz w:val="20"/>
      <w:szCs w:val="20"/>
      <w:lang w:eastAsia="ru-RU"/>
    </w:rPr>
  </w:style>
  <w:style w:type="character" w:customStyle="1" w:styleId="3a">
    <w:name w:val="Оглавление 3 Знак"/>
    <w:basedOn w:val="a2"/>
    <w:rPr>
      <w:rFonts w:ascii="Times New Roman" w:eastAsia="Times New Roman" w:hAnsi="Times New Roman" w:cs="Times New Roman"/>
      <w:sz w:val="28"/>
      <w:szCs w:val="24"/>
      <w:lang w:eastAsia="ru-RU"/>
    </w:rPr>
  </w:style>
  <w:style w:type="paragraph" w:customStyle="1" w:styleId="afffff6">
    <w:name w:val="БДО Аннотация"/>
    <w:basedOn w:val="a1"/>
    <w:pPr>
      <w:widowControl w:val="0"/>
    </w:pPr>
    <w:rPr>
      <w:rFonts w:ascii="Garamond" w:hAnsi="Garamond"/>
      <w:b/>
      <w:color w:val="000080"/>
      <w:sz w:val="32"/>
      <w:szCs w:val="32"/>
    </w:rPr>
  </w:style>
  <w:style w:type="paragraph" w:customStyle="1" w:styleId="Default">
    <w:name w:val="Default"/>
    <w:pPr>
      <w:suppressAutoHyphens/>
      <w:autoSpaceDE w:val="0"/>
      <w:spacing w:after="0" w:line="240" w:lineRule="auto"/>
    </w:pPr>
    <w:rPr>
      <w:rFonts w:ascii="Century Gothic" w:eastAsia="Times New Roman" w:hAnsi="Century Gothic" w:cs="Century Gothic"/>
      <w:color w:val="000000"/>
      <w:sz w:val="24"/>
      <w:szCs w:val="24"/>
      <w:lang w:eastAsia="ru-RU"/>
    </w:rPr>
  </w:style>
  <w:style w:type="paragraph" w:styleId="afffff7">
    <w:name w:val="Revision"/>
    <w:pPr>
      <w:suppressAutoHyphens/>
      <w:spacing w:after="0" w:line="240" w:lineRule="auto"/>
    </w:pPr>
    <w:rPr>
      <w:rFonts w:ascii="Times New Roman" w:eastAsia="Times New Roman" w:hAnsi="Times New Roman"/>
      <w:sz w:val="24"/>
      <w:szCs w:val="24"/>
      <w:lang w:eastAsia="ru-RU"/>
    </w:rPr>
  </w:style>
  <w:style w:type="paragraph" w:customStyle="1" w:styleId="xl63">
    <w:name w:val="xl63"/>
    <w:basedOn w:val="a1"/>
    <w:pPr>
      <w:spacing w:before="100" w:after="100"/>
    </w:pPr>
    <w:rPr>
      <w:sz w:val="18"/>
      <w:szCs w:val="18"/>
    </w:rPr>
  </w:style>
  <w:style w:type="paragraph" w:customStyle="1" w:styleId="xl64">
    <w:name w:val="xl64"/>
    <w:basedOn w:val="a1"/>
    <w:pPr>
      <w:pBdr>
        <w:top w:val="single" w:sz="4" w:space="0" w:color="000000"/>
        <w:left w:val="single" w:sz="4" w:space="0" w:color="000000"/>
        <w:bottom w:val="single" w:sz="4" w:space="0" w:color="000000"/>
        <w:right w:val="single" w:sz="4" w:space="0" w:color="000000"/>
      </w:pBdr>
      <w:spacing w:before="100" w:after="100"/>
      <w:jc w:val="center"/>
    </w:pPr>
    <w:rPr>
      <w:sz w:val="18"/>
      <w:szCs w:val="18"/>
    </w:rPr>
  </w:style>
  <w:style w:type="paragraph" w:customStyle="1" w:styleId="xl65">
    <w:name w:val="xl65"/>
    <w:basedOn w:val="a1"/>
    <w:pPr>
      <w:pBdr>
        <w:top w:val="single" w:sz="4" w:space="0" w:color="000000"/>
        <w:left w:val="single" w:sz="4" w:space="0" w:color="000000"/>
        <w:bottom w:val="single" w:sz="4" w:space="0" w:color="000000"/>
        <w:right w:val="single" w:sz="4" w:space="0" w:color="000000"/>
      </w:pBdr>
      <w:spacing w:before="100" w:after="100"/>
      <w:jc w:val="center"/>
      <w:textAlignment w:val="center"/>
    </w:pPr>
    <w:rPr>
      <w:sz w:val="18"/>
      <w:szCs w:val="18"/>
    </w:rPr>
  </w:style>
  <w:style w:type="paragraph" w:customStyle="1" w:styleId="xl66">
    <w:name w:val="xl66"/>
    <w:basedOn w:val="a1"/>
    <w:pPr>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67">
    <w:name w:val="xl67"/>
    <w:basedOn w:val="a1"/>
    <w:pPr>
      <w:pBdr>
        <w:top w:val="single" w:sz="4" w:space="0" w:color="000000"/>
        <w:left w:val="single" w:sz="4" w:space="0" w:color="000000"/>
        <w:bottom w:val="single" w:sz="4" w:space="0" w:color="000000"/>
        <w:right w:val="single" w:sz="4" w:space="0" w:color="000000"/>
      </w:pBdr>
      <w:shd w:val="clear" w:color="auto" w:fill="EEECE1"/>
      <w:spacing w:before="100" w:after="100"/>
      <w:jc w:val="center"/>
      <w:textAlignment w:val="center"/>
    </w:pPr>
    <w:rPr>
      <w:b/>
      <w:bCs/>
      <w:sz w:val="18"/>
      <w:szCs w:val="18"/>
    </w:rPr>
  </w:style>
  <w:style w:type="paragraph" w:customStyle="1" w:styleId="xl68">
    <w:name w:val="xl68"/>
    <w:basedOn w:val="a1"/>
    <w:pPr>
      <w:pBdr>
        <w:top w:val="single" w:sz="4" w:space="0" w:color="000000"/>
        <w:left w:val="single" w:sz="4" w:space="0" w:color="000000"/>
        <w:bottom w:val="single" w:sz="4" w:space="0" w:color="000000"/>
        <w:right w:val="single" w:sz="4" w:space="0" w:color="000000"/>
      </w:pBdr>
      <w:shd w:val="clear" w:color="auto" w:fill="BFBFBF"/>
      <w:spacing w:before="100" w:after="100"/>
      <w:jc w:val="center"/>
    </w:pPr>
    <w:rPr>
      <w:sz w:val="18"/>
      <w:szCs w:val="18"/>
    </w:rPr>
  </w:style>
  <w:style w:type="paragraph" w:customStyle="1" w:styleId="xl69">
    <w:name w:val="xl69"/>
    <w:basedOn w:val="a1"/>
    <w:pPr>
      <w:pBdr>
        <w:top w:val="single" w:sz="4" w:space="0" w:color="000000"/>
        <w:left w:val="single" w:sz="4" w:space="0" w:color="000000"/>
        <w:bottom w:val="single" w:sz="4" w:space="0" w:color="000000"/>
        <w:right w:val="single" w:sz="4" w:space="0" w:color="000000"/>
      </w:pBdr>
      <w:shd w:val="clear" w:color="auto" w:fill="BFBFBF"/>
      <w:spacing w:before="100" w:after="100"/>
      <w:jc w:val="center"/>
      <w:textAlignment w:val="center"/>
    </w:pPr>
    <w:rPr>
      <w:b/>
      <w:bCs/>
      <w:sz w:val="18"/>
      <w:szCs w:val="18"/>
    </w:rPr>
  </w:style>
  <w:style w:type="paragraph" w:customStyle="1" w:styleId="xl70">
    <w:name w:val="xl70"/>
    <w:basedOn w:val="a1"/>
    <w:pPr>
      <w:pBdr>
        <w:top w:val="single" w:sz="4" w:space="0" w:color="000000"/>
        <w:left w:val="single" w:sz="4" w:space="0" w:color="000000"/>
        <w:bottom w:val="single" w:sz="4" w:space="0" w:color="000000"/>
        <w:right w:val="single" w:sz="4" w:space="0" w:color="000000"/>
      </w:pBdr>
      <w:spacing w:before="100" w:after="100"/>
      <w:jc w:val="center"/>
    </w:pPr>
    <w:rPr>
      <w:sz w:val="18"/>
      <w:szCs w:val="18"/>
    </w:rPr>
  </w:style>
  <w:style w:type="paragraph" w:customStyle="1" w:styleId="xl71">
    <w:name w:val="xl71"/>
    <w:basedOn w:val="a1"/>
    <w:pPr>
      <w:spacing w:before="100" w:after="100"/>
      <w:jc w:val="center"/>
    </w:pPr>
    <w:rPr>
      <w:sz w:val="18"/>
      <w:szCs w:val="18"/>
    </w:rPr>
  </w:style>
  <w:style w:type="paragraph" w:customStyle="1" w:styleId="xl72">
    <w:name w:val="xl72"/>
    <w:basedOn w:val="a1"/>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 w:val="18"/>
      <w:szCs w:val="18"/>
    </w:rPr>
  </w:style>
  <w:style w:type="paragraph" w:customStyle="1" w:styleId="xl73">
    <w:name w:val="xl73"/>
    <w:basedOn w:val="a1"/>
    <w:pPr>
      <w:pBdr>
        <w:top w:val="single" w:sz="4" w:space="0" w:color="000000"/>
        <w:left w:val="single" w:sz="4" w:space="0" w:color="000000"/>
        <w:bottom w:val="single" w:sz="4" w:space="0" w:color="000000"/>
        <w:right w:val="single" w:sz="4" w:space="0" w:color="000000"/>
      </w:pBdr>
      <w:shd w:val="clear" w:color="auto" w:fill="D99795"/>
      <w:spacing w:before="100" w:after="100"/>
      <w:jc w:val="center"/>
      <w:textAlignment w:val="center"/>
    </w:pPr>
    <w:rPr>
      <w:b/>
      <w:bCs/>
      <w:sz w:val="18"/>
      <w:szCs w:val="18"/>
    </w:rPr>
  </w:style>
  <w:style w:type="paragraph" w:customStyle="1" w:styleId="xl75">
    <w:name w:val="xl75"/>
    <w:basedOn w:val="a1"/>
    <w:pPr>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76">
    <w:name w:val="xl76"/>
    <w:basedOn w:val="a1"/>
    <w:pPr>
      <w:pBdr>
        <w:top w:val="single" w:sz="4" w:space="0" w:color="000000"/>
        <w:left w:val="single" w:sz="4" w:space="0" w:color="000000"/>
        <w:bottom w:val="single" w:sz="4" w:space="0" w:color="000000"/>
        <w:right w:val="single" w:sz="4" w:space="0" w:color="000000"/>
      </w:pBdr>
      <w:spacing w:before="100" w:after="100"/>
      <w:jc w:val="center"/>
    </w:pPr>
    <w:rPr>
      <w:sz w:val="18"/>
      <w:szCs w:val="18"/>
    </w:rPr>
  </w:style>
  <w:style w:type="paragraph" w:customStyle="1" w:styleId="xl77">
    <w:name w:val="xl77"/>
    <w:basedOn w:val="a1"/>
    <w:pPr>
      <w:pBdr>
        <w:top w:val="single" w:sz="4" w:space="0" w:color="000000"/>
        <w:left w:val="single" w:sz="4" w:space="0" w:color="000000"/>
        <w:bottom w:val="single" w:sz="4" w:space="0" w:color="000000"/>
        <w:right w:val="single" w:sz="4" w:space="0" w:color="000000"/>
      </w:pBdr>
      <w:shd w:val="clear" w:color="auto" w:fill="92D050"/>
      <w:spacing w:before="100" w:after="100"/>
      <w:jc w:val="center"/>
      <w:textAlignment w:val="center"/>
    </w:pPr>
    <w:rPr>
      <w:b/>
      <w:bCs/>
      <w:sz w:val="18"/>
      <w:szCs w:val="18"/>
    </w:rPr>
  </w:style>
  <w:style w:type="paragraph" w:customStyle="1" w:styleId="xl78">
    <w:name w:val="xl78"/>
    <w:basedOn w:val="a1"/>
    <w:pPr>
      <w:pBdr>
        <w:top w:val="single" w:sz="4" w:space="0" w:color="000000"/>
        <w:left w:val="single" w:sz="4" w:space="0" w:color="000000"/>
        <w:bottom w:val="single" w:sz="4" w:space="0" w:color="000000"/>
        <w:right w:val="single" w:sz="4" w:space="0" w:color="000000"/>
      </w:pBdr>
      <w:shd w:val="clear" w:color="auto" w:fill="92D050"/>
      <w:spacing w:before="100" w:after="100"/>
      <w:jc w:val="center"/>
      <w:textAlignment w:val="center"/>
    </w:pPr>
    <w:rPr>
      <w:b/>
      <w:bCs/>
      <w:sz w:val="18"/>
      <w:szCs w:val="18"/>
    </w:rPr>
  </w:style>
  <w:style w:type="paragraph" w:customStyle="1" w:styleId="xl79">
    <w:name w:val="xl79"/>
    <w:basedOn w:val="a1"/>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b/>
      <w:bCs/>
      <w:sz w:val="18"/>
      <w:szCs w:val="18"/>
    </w:rPr>
  </w:style>
  <w:style w:type="paragraph" w:customStyle="1" w:styleId="afffff8">
    <w:name w:val="Знак Знак Знак Знак Знак Знак Знак Знак Знак Знак Знак Знак"/>
    <w:basedOn w:val="a1"/>
    <w:autoRedefine/>
    <w:pPr>
      <w:spacing w:after="160" w:line="240" w:lineRule="exact"/>
    </w:pPr>
    <w:rPr>
      <w:rFonts w:eastAsia="SimSun"/>
      <w:b/>
      <w:sz w:val="24"/>
      <w:szCs w:val="24"/>
      <w:lang w:eastAsia="en-US"/>
    </w:rPr>
  </w:style>
  <w:style w:type="character" w:customStyle="1" w:styleId="skypepnhmark">
    <w:name w:val="skype_pnh_mark"/>
    <w:rPr>
      <w:vanish/>
    </w:rPr>
  </w:style>
  <w:style w:type="paragraph" w:customStyle="1" w:styleId="style13233341830000000970msonormal">
    <w:name w:val="style_13233341830000000970msonormal"/>
    <w:basedOn w:val="a1"/>
    <w:pPr>
      <w:spacing w:before="100" w:after="100"/>
    </w:pPr>
    <w:rPr>
      <w:sz w:val="24"/>
      <w:szCs w:val="24"/>
    </w:rPr>
  </w:style>
  <w:style w:type="paragraph" w:customStyle="1" w:styleId="afffff9">
    <w:name w:val="КГОЗ"/>
    <w:basedOn w:val="a1"/>
    <w:pPr>
      <w:widowControl w:val="0"/>
      <w:jc w:val="center"/>
    </w:pPr>
    <w:rPr>
      <w:b/>
      <w:caps/>
      <w:sz w:val="24"/>
    </w:rPr>
  </w:style>
  <w:style w:type="character" w:customStyle="1" w:styleId="afffffa">
    <w:name w:val="диаграммы Знак"/>
    <w:basedOn w:val="a2"/>
    <w:rPr>
      <w:sz w:val="24"/>
    </w:rPr>
  </w:style>
  <w:style w:type="paragraph" w:customStyle="1" w:styleId="1f7">
    <w:name w:val="заголовок 1"/>
    <w:basedOn w:val="a1"/>
    <w:next w:val="a1"/>
    <w:pPr>
      <w:keepNext/>
      <w:autoSpaceDE w:val="0"/>
      <w:spacing w:before="240" w:after="60"/>
      <w:outlineLvl w:val="0"/>
    </w:pPr>
    <w:rPr>
      <w:rFonts w:ascii="Arial" w:hAnsi="Arial" w:cs="Arial"/>
      <w:kern w:val="3"/>
      <w:sz w:val="28"/>
      <w:szCs w:val="28"/>
      <w:lang w:val="en-GB"/>
    </w:rPr>
  </w:style>
  <w:style w:type="paragraph" w:styleId="a">
    <w:name w:val="Normal Indent"/>
    <w:basedOn w:val="a1"/>
    <w:pPr>
      <w:numPr>
        <w:numId w:val="14"/>
      </w:numPr>
    </w:pPr>
    <w:rPr>
      <w:sz w:val="24"/>
      <w:szCs w:val="24"/>
    </w:rPr>
  </w:style>
  <w:style w:type="paragraph" w:customStyle="1" w:styleId="55">
    <w:name w:val="5 ОБЩИЙ"/>
    <w:basedOn w:val="a1"/>
    <w:autoRedefine/>
    <w:pPr>
      <w:tabs>
        <w:tab w:val="left" w:pos="709"/>
        <w:tab w:val="left" w:pos="1134"/>
      </w:tabs>
      <w:spacing w:before="120" w:after="120" w:line="276" w:lineRule="atLeast"/>
      <w:ind w:firstLine="709"/>
    </w:pPr>
    <w:rPr>
      <w:rFonts w:ascii="Calibri" w:hAnsi="Calibri" w:cs="Calibri"/>
      <w:color w:val="00000A"/>
      <w:spacing w:val="-5"/>
      <w:sz w:val="24"/>
      <w:szCs w:val="28"/>
    </w:rPr>
  </w:style>
  <w:style w:type="paragraph" w:customStyle="1" w:styleId="Standard">
    <w:name w:val="Standard"/>
    <w:pPr>
      <w:tabs>
        <w:tab w:val="left" w:pos="709"/>
      </w:tabs>
      <w:suppressAutoHyphens/>
      <w:spacing w:line="276" w:lineRule="atLeast"/>
    </w:pPr>
    <w:rPr>
      <w:rFonts w:eastAsia="DejaVu Sans"/>
      <w:color w:val="00000A"/>
      <w:sz w:val="24"/>
    </w:rPr>
  </w:style>
  <w:style w:type="paragraph" w:customStyle="1" w:styleId="56">
    <w:name w:val="Обычный5"/>
    <w:pPr>
      <w:widowControl w:val="0"/>
      <w:suppressAutoHyphens/>
      <w:spacing w:after="0" w:line="240" w:lineRule="auto"/>
      <w:ind w:left="1400" w:hanging="1420"/>
    </w:pPr>
    <w:rPr>
      <w:rFonts w:ascii="Times New Roman" w:eastAsia="Times New Roman" w:hAnsi="Times New Roman"/>
      <w:szCs w:val="20"/>
      <w:lang w:eastAsia="ru-RU"/>
    </w:rPr>
  </w:style>
  <w:style w:type="character" w:customStyle="1" w:styleId="NormalWebChar">
    <w:name w:val="Normal (Web) Char Знак"/>
    <w:rPr>
      <w:rFonts w:ascii="Times New Roman" w:eastAsia="Times New Roman" w:hAnsi="Times New Roman" w:cs="Times New Roman"/>
      <w:sz w:val="24"/>
      <w:szCs w:val="24"/>
      <w:lang w:eastAsia="ru-RU"/>
    </w:rPr>
  </w:style>
  <w:style w:type="paragraph" w:customStyle="1" w:styleId="formattext">
    <w:name w:val="formattext"/>
    <w:basedOn w:val="a1"/>
    <w:pPr>
      <w:spacing w:before="100" w:after="100"/>
    </w:pPr>
    <w:rPr>
      <w:sz w:val="24"/>
      <w:szCs w:val="24"/>
    </w:rPr>
  </w:style>
  <w:style w:type="paragraph" w:customStyle="1" w:styleId="msonormal0">
    <w:name w:val="msonormal"/>
    <w:basedOn w:val="a1"/>
    <w:pPr>
      <w:spacing w:before="100" w:after="100"/>
    </w:pPr>
    <w:rPr>
      <w:sz w:val="24"/>
      <w:szCs w:val="24"/>
    </w:rPr>
  </w:style>
  <w:style w:type="paragraph" w:customStyle="1" w:styleId="Standarduser">
    <w:name w:val="Standard (user)"/>
    <w:pPr>
      <w:suppressAutoHyphens/>
      <w:spacing w:after="0" w:line="240" w:lineRule="auto"/>
    </w:pPr>
    <w:rPr>
      <w:rFonts w:ascii="Times New Roman" w:eastAsia="Times New Roman" w:hAnsi="Times New Roman"/>
      <w:kern w:val="3"/>
      <w:sz w:val="24"/>
      <w:szCs w:val="24"/>
      <w:lang w:eastAsia="zh-CN"/>
    </w:rPr>
  </w:style>
  <w:style w:type="paragraph" w:customStyle="1" w:styleId="Footnote">
    <w:name w:val="Footnote"/>
    <w:basedOn w:val="a1"/>
    <w:pPr>
      <w:widowControl w:val="0"/>
    </w:pPr>
    <w:rPr>
      <w:rFonts w:eastAsia="SimSun, 宋体" w:cs="Mangal"/>
      <w:kern w:val="3"/>
      <w:sz w:val="24"/>
      <w:szCs w:val="24"/>
      <w:lang w:eastAsia="zh-CN" w:bidi="hi-IN"/>
    </w:rPr>
  </w:style>
  <w:style w:type="character" w:customStyle="1" w:styleId="inlinelabel">
    <w:name w:val="inline_label"/>
    <w:basedOn w:val="a2"/>
  </w:style>
  <w:style w:type="paragraph" w:customStyle="1" w:styleId="1">
    <w:name w:val="Нумерованный список1"/>
    <w:basedOn w:val="a1"/>
    <w:pPr>
      <w:numPr>
        <w:numId w:val="15"/>
      </w:numPr>
    </w:pPr>
    <w:rPr>
      <w:sz w:val="24"/>
      <w:szCs w:val="24"/>
      <w:lang w:eastAsia="ar-SA"/>
    </w:rPr>
  </w:style>
  <w:style w:type="paragraph" w:customStyle="1" w:styleId="10">
    <w:name w:val="Маркированный список1"/>
    <w:basedOn w:val="a1"/>
    <w:pPr>
      <w:numPr>
        <w:numId w:val="16"/>
      </w:numPr>
    </w:pPr>
    <w:rPr>
      <w:sz w:val="24"/>
      <w:szCs w:val="24"/>
      <w:lang w:eastAsia="ar-SA"/>
    </w:rPr>
  </w:style>
  <w:style w:type="numbering" w:customStyle="1" w:styleId="111111">
    <w:name w:val="Outline List 2"/>
    <w:basedOn w:val="a4"/>
    <w:pPr>
      <w:numPr>
        <w:numId w:val="2"/>
      </w:numPr>
    </w:pPr>
  </w:style>
  <w:style w:type="numbering" w:customStyle="1" w:styleId="a0">
    <w:name w:val="Outline List 3"/>
    <w:basedOn w:val="a4"/>
    <w:pPr>
      <w:numPr>
        <w:numId w:val="3"/>
      </w:numPr>
    </w:pPr>
  </w:style>
  <w:style w:type="numbering" w:customStyle="1" w:styleId="12">
    <w:name w:val="Стиль1"/>
    <w:basedOn w:val="a4"/>
    <w:pPr>
      <w:numPr>
        <w:numId w:val="4"/>
      </w:numPr>
    </w:pPr>
  </w:style>
  <w:style w:type="numbering" w:customStyle="1" w:styleId="WWOutlineListStyle">
    <w:name w:val="WW_OutlineListStyle"/>
    <w:basedOn w:val="a4"/>
    <w:pPr>
      <w:numPr>
        <w:numId w:val="5"/>
      </w:numPr>
    </w:pPr>
  </w:style>
  <w:style w:type="numbering" w:customStyle="1" w:styleId="11">
    <w:name w:val="м1"/>
    <w:basedOn w:val="a4"/>
    <w:pPr>
      <w:numPr>
        <w:numId w:val="6"/>
      </w:numPr>
    </w:pPr>
  </w:style>
  <w:style w:type="numbering" w:customStyle="1" w:styleId="WWNum100">
    <w:name w:val="WWNum100"/>
    <w:basedOn w:val="a4"/>
    <w:pPr>
      <w:numPr>
        <w:numId w:val="7"/>
      </w:numPr>
    </w:pPr>
  </w:style>
  <w:style w:type="numbering" w:customStyle="1" w:styleId="WWNum101">
    <w:name w:val="WWNum101"/>
    <w:basedOn w:val="a4"/>
    <w:pPr>
      <w:numPr>
        <w:numId w:val="8"/>
      </w:numPr>
    </w:pPr>
  </w:style>
  <w:style w:type="numbering" w:customStyle="1" w:styleId="WWNum6">
    <w:name w:val="WWNum6"/>
    <w:basedOn w:val="a4"/>
    <w:pPr>
      <w:numPr>
        <w:numId w:val="9"/>
      </w:numPr>
    </w:pPr>
  </w:style>
  <w:style w:type="numbering" w:customStyle="1" w:styleId="WWNum102">
    <w:name w:val="WWNum102"/>
    <w:basedOn w:val="a4"/>
    <w:pPr>
      <w:numPr>
        <w:numId w:val="10"/>
      </w:numPr>
    </w:pPr>
  </w:style>
  <w:style w:type="numbering" w:customStyle="1" w:styleId="LFO5">
    <w:name w:val="LFO5"/>
    <w:basedOn w:val="a4"/>
    <w:pPr>
      <w:numPr>
        <w:numId w:val="11"/>
      </w:numPr>
    </w:pPr>
  </w:style>
  <w:style w:type="numbering" w:customStyle="1" w:styleId="LFO6">
    <w:name w:val="LFO6"/>
    <w:basedOn w:val="a4"/>
    <w:pPr>
      <w:numPr>
        <w:numId w:val="12"/>
      </w:numPr>
    </w:pPr>
  </w:style>
  <w:style w:type="numbering" w:customStyle="1" w:styleId="LFO7">
    <w:name w:val="LFO7"/>
    <w:basedOn w:val="a4"/>
    <w:pPr>
      <w:numPr>
        <w:numId w:val="13"/>
      </w:numPr>
    </w:pPr>
  </w:style>
  <w:style w:type="numbering" w:customStyle="1" w:styleId="LFO36">
    <w:name w:val="LFO36"/>
    <w:basedOn w:val="a4"/>
    <w:pPr>
      <w:numPr>
        <w:numId w:val="14"/>
      </w:numPr>
    </w:pPr>
  </w:style>
  <w:style w:type="numbering" w:customStyle="1" w:styleId="LFO65">
    <w:name w:val="LFO65"/>
    <w:basedOn w:val="a4"/>
    <w:pPr>
      <w:numPr>
        <w:numId w:val="15"/>
      </w:numPr>
    </w:pPr>
  </w:style>
  <w:style w:type="numbering" w:customStyle="1" w:styleId="LFO66">
    <w:name w:val="LFO66"/>
    <w:basedOn w:val="a4"/>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arget="https://davlekanovo.bashkortostan.ru/" TargetMode="External" Type="http://schemas.openxmlformats.org/officeDocument/2006/relationships/hyperlink"/><Relationship Id="rId299" Target="http://www.torgi.gov.ru" TargetMode="External" Type="http://schemas.openxmlformats.org/officeDocument/2006/relationships/hyperlink"/><Relationship Id="rId303" Target="charts/chart5.xml" Type="http://schemas.openxmlformats.org/officeDocument/2006/relationships/chart"/><Relationship Id="rId21" Target="#_Toc11934886" TargetMode="External" Type="http://schemas.openxmlformats.org/officeDocument/2006/relationships/hyperlink"/><Relationship Id="rId42" Target="http://www.gks.ru/" TargetMode="External" Type="http://schemas.openxmlformats.org/officeDocument/2006/relationships/hyperlink"/><Relationship Id="rId63" Target="http://admkumertau.ru/" TargetMode="External" Type="http://schemas.openxmlformats.org/officeDocument/2006/relationships/hyperlink"/><Relationship Id="rId84" Target="https://arhangel.bashkortostan.ru/" TargetMode="External" Type="http://schemas.openxmlformats.org/officeDocument/2006/relationships/hyperlink"/><Relationship Id="rId138" Target="https://karaidel.bashkortostan.ru/" TargetMode="External" Type="http://schemas.openxmlformats.org/officeDocument/2006/relationships/hyperlink"/><Relationship Id="rId159" Target="https://nuriman.bashkortostan.ru/" TargetMode="External" Type="http://schemas.openxmlformats.org/officeDocument/2006/relationships/hyperlink"/><Relationship Id="rId324" Target="media/image107.png" Type="http://schemas.openxmlformats.org/officeDocument/2006/relationships/image"/><Relationship Id="rId345" Target="embeddings/oleObject1.bin" Type="http://schemas.openxmlformats.org/officeDocument/2006/relationships/oleObject"/><Relationship Id="rId170" Target="https://tuimazy.bashkortostan.ru/" TargetMode="External" Type="http://schemas.openxmlformats.org/officeDocument/2006/relationships/hyperlink"/><Relationship Id="rId191" Target="footer3.xml" Type="http://schemas.openxmlformats.org/officeDocument/2006/relationships/footer"/><Relationship Id="rId205" Target="media/image16.png" Type="http://schemas.openxmlformats.org/officeDocument/2006/relationships/image"/><Relationship Id="rId226" Target="media/image37.jpeg" Type="http://schemas.openxmlformats.org/officeDocument/2006/relationships/image"/><Relationship Id="rId247" Target="media/image58.jpeg" Type="http://schemas.openxmlformats.org/officeDocument/2006/relationships/image"/><Relationship Id="rId107" Target="https://blagoveshensk.bashkortostan.ru/" TargetMode="External" Type="http://schemas.openxmlformats.org/officeDocument/2006/relationships/hyperlink"/><Relationship Id="rId268" Target="media/image79.png" Type="http://schemas.openxmlformats.org/officeDocument/2006/relationships/image"/><Relationship Id="rId289" Target="http://www.cian.ru" TargetMode="External" Type="http://schemas.openxmlformats.org/officeDocument/2006/relationships/hyperlink"/><Relationship Id="rId11" Target="#_Toc11934876" TargetMode="External" Type="http://schemas.openxmlformats.org/officeDocument/2006/relationships/hyperlink"/><Relationship Id="rId32" Target="#_Toc11934897" TargetMode="External" Type="http://schemas.openxmlformats.org/officeDocument/2006/relationships/hyperlink"/><Relationship Id="rId53" Target="http://bash.riva-ufa.ru/" TargetMode="External" Type="http://schemas.openxmlformats.org/officeDocument/2006/relationships/hyperlink"/><Relationship Id="rId74" Target="http://www.sterlitamakadm.ru/" TargetMode="External" Type="http://schemas.openxmlformats.org/officeDocument/2006/relationships/hyperlink"/><Relationship Id="rId128" Target="https://zilair.bashkortostan.ru/" TargetMode="External" Type="http://schemas.openxmlformats.org/officeDocument/2006/relationships/hyperlink"/><Relationship Id="rId149" Target="https://kuyurgaza.bashkortostan.ru/" TargetMode="External" Type="http://schemas.openxmlformats.org/officeDocument/2006/relationships/hyperlink"/><Relationship Id="rId314" Target="media/image98.jpeg" Type="http://schemas.openxmlformats.org/officeDocument/2006/relationships/image"/><Relationship Id="rId335" Target="media/image114.png" Type="http://schemas.openxmlformats.org/officeDocument/2006/relationships/image"/><Relationship Id="rId356" Target="media/image126.jpeg" Type="http://schemas.openxmlformats.org/officeDocument/2006/relationships/image"/><Relationship Id="rId5" Target="footnotes.xml" Type="http://schemas.openxmlformats.org/officeDocument/2006/relationships/footnotes"/><Relationship Id="rId95" Target="http://www.belebey-mr.ru/" TargetMode="External" Type="http://schemas.openxmlformats.org/officeDocument/2006/relationships/hyperlink"/><Relationship Id="rId160" Target="https://nuriman.bashkortostan.ru/" TargetMode="External" Type="http://schemas.openxmlformats.org/officeDocument/2006/relationships/hyperlink"/><Relationship Id="rId181" Target="https://chishmy.bashkortostan.ru/" TargetMode="External" Type="http://schemas.openxmlformats.org/officeDocument/2006/relationships/hyperlink"/><Relationship Id="rId216" Target="media/image27.jpeg" Type="http://schemas.openxmlformats.org/officeDocument/2006/relationships/image"/><Relationship Id="rId237" Target="media/image48.jpeg" Type="http://schemas.openxmlformats.org/officeDocument/2006/relationships/image"/><Relationship Id="rId258" Target="media/image69.png" Type="http://schemas.openxmlformats.org/officeDocument/2006/relationships/image"/><Relationship Id="rId279" Target="media/image90.png" Type="http://schemas.openxmlformats.org/officeDocument/2006/relationships/image"/><Relationship Id="rId22" Target="#_Toc11934887" TargetMode="External" Type="http://schemas.openxmlformats.org/officeDocument/2006/relationships/hyperlink"/><Relationship Id="rId43" Target="https://rosreestr.ru/wps/portal/online_request" TargetMode="External" Type="http://schemas.openxmlformats.org/officeDocument/2006/relationships/hyperlink"/><Relationship Id="rId64" Target="http://admkumertau.ru/ru/" TargetMode="External" Type="http://schemas.openxmlformats.org/officeDocument/2006/relationships/hyperlink"/><Relationship Id="rId118" Target="https://davlekanovo.bashkortostan.ru/" TargetMode="External" Type="http://schemas.openxmlformats.org/officeDocument/2006/relationships/hyperlink"/><Relationship Id="rId139" Target="https://admkarm.bashkortostan.ru/" TargetMode="External" Type="http://schemas.openxmlformats.org/officeDocument/2006/relationships/hyperlink"/><Relationship Id="rId290" Target="http://www.domofond.ru" TargetMode="External" Type="http://schemas.openxmlformats.org/officeDocument/2006/relationships/hyperlink"/><Relationship Id="rId304" Target="charts/chart6.xml" Type="http://schemas.openxmlformats.org/officeDocument/2006/relationships/chart"/><Relationship Id="rId325" Target="media/image108.jpeg" Type="http://schemas.openxmlformats.org/officeDocument/2006/relationships/image"/><Relationship Id="rId346" Target="media/image122.wmf" Type="http://schemas.openxmlformats.org/officeDocument/2006/relationships/image"/><Relationship Id="rId85" Target="https://askino.bashkortostan.ru/" TargetMode="External" Type="http://schemas.openxmlformats.org/officeDocument/2006/relationships/hyperlink"/><Relationship Id="rId150" Target="https://kuyurgaza.bashkortostan.ru/" TargetMode="External" Type="http://schemas.openxmlformats.org/officeDocument/2006/relationships/hyperlink"/><Relationship Id="rId171" Target="https://ufim.bashkortostan.ru/" TargetMode="External" Type="http://schemas.openxmlformats.org/officeDocument/2006/relationships/hyperlink"/><Relationship Id="rId192" Target="media/image3.png" Type="http://schemas.openxmlformats.org/officeDocument/2006/relationships/image"/><Relationship Id="rId206" Target="media/image17.png" Type="http://schemas.openxmlformats.org/officeDocument/2006/relationships/image"/><Relationship Id="rId227" Target="media/image38.png" Type="http://schemas.openxmlformats.org/officeDocument/2006/relationships/image"/><Relationship Id="rId248" Target="media/image59.jpeg" Type="http://schemas.openxmlformats.org/officeDocument/2006/relationships/image"/><Relationship Id="rId269" Target="media/image80.png" Type="http://schemas.openxmlformats.org/officeDocument/2006/relationships/image"/><Relationship Id="rId12" Target="#_Toc11934877" TargetMode="External" Type="http://schemas.openxmlformats.org/officeDocument/2006/relationships/hyperlink"/><Relationship Id="rId33" Target="#_Toc11934898" TargetMode="External" Type="http://schemas.openxmlformats.org/officeDocument/2006/relationships/hyperlink"/><Relationship Id="rId108" Target="https://blagoveshensk.bashkortostan.ru/" TargetMode="External" Type="http://schemas.openxmlformats.org/officeDocument/2006/relationships/hyperlink"/><Relationship Id="rId129" Target="https://iglino.bashkortostan.ru/" TargetMode="External" Type="http://schemas.openxmlformats.org/officeDocument/2006/relationships/hyperlink"/><Relationship Id="rId280" Target="media/image91.png" Type="http://schemas.openxmlformats.org/officeDocument/2006/relationships/image"/><Relationship Id="rId315" Target="media/image99.jpeg" Type="http://schemas.openxmlformats.org/officeDocument/2006/relationships/image"/><Relationship Id="rId336" Target="media/image115.png" Type="http://schemas.openxmlformats.org/officeDocument/2006/relationships/image"/><Relationship Id="rId357" Target="#&#1048;&#1085;&#1076;&#1080;&#1074;&#1080;&#1076;&#1091;&#1072;&#1083;&#1100;&#1085;&#1099;&#1081;" TargetMode="External" Type="http://schemas.openxmlformats.org/officeDocument/2006/relationships/hyperlink"/><Relationship Id="rId54" Target="https://cyberleninka.ru/" TargetMode="External" Type="http://schemas.openxmlformats.org/officeDocument/2006/relationships/hyperlink"/><Relationship Id="rId75" Target="http://www.ufacity.info/" TargetMode="External" Type="http://schemas.openxmlformats.org/officeDocument/2006/relationships/hyperlink"/><Relationship Id="rId96" Target="http://www.belebey-mr.ru/" TargetMode="External" Type="http://schemas.openxmlformats.org/officeDocument/2006/relationships/hyperlink"/><Relationship Id="rId140" Target="https://admkarm.bashkortostan.ru/" TargetMode="External" Type="http://schemas.openxmlformats.org/officeDocument/2006/relationships/hyperlink"/><Relationship Id="rId161" Target="https://admmaloyaz.bashkortostan.ru/" TargetMode="External" Type="http://schemas.openxmlformats.org/officeDocument/2006/relationships/hyperlink"/><Relationship Id="rId182" Target="https://chishmy.bashkortostan.ru/" TargetMode="External" Type="http://schemas.openxmlformats.org/officeDocument/2006/relationships/hyperlink"/><Relationship Id="rId217" Target="media/image28.jpeg" Type="http://schemas.openxmlformats.org/officeDocument/2006/relationships/image"/><Relationship Id="rId6" Target="endnotes.xml" Type="http://schemas.openxmlformats.org/officeDocument/2006/relationships/endnotes"/><Relationship Id="rId238" Target="media/image49.jpeg" Type="http://schemas.openxmlformats.org/officeDocument/2006/relationships/image"/><Relationship Id="rId259" Target="media/image70.png" Type="http://schemas.openxmlformats.org/officeDocument/2006/relationships/image"/><Relationship Id="rId23" Target="#_Toc11934888" TargetMode="External" Type="http://schemas.openxmlformats.org/officeDocument/2006/relationships/hyperlink"/><Relationship Id="rId119" Target="https://duvan.bashkortostan.ru/" TargetMode="External" Type="http://schemas.openxmlformats.org/officeDocument/2006/relationships/hyperlink"/><Relationship Id="rId270" Target="media/image81.png" Type="http://schemas.openxmlformats.org/officeDocument/2006/relationships/image"/><Relationship Id="rId291" Target="http://www.doski.ru" TargetMode="External" Type="http://schemas.openxmlformats.org/officeDocument/2006/relationships/hyperlink"/><Relationship Id="rId305" Target="header4.xml" Type="http://schemas.openxmlformats.org/officeDocument/2006/relationships/header"/><Relationship Id="rId326" Target="media/image109.png" Type="http://schemas.openxmlformats.org/officeDocument/2006/relationships/image"/><Relationship Id="rId347" Target="embeddings/oleObject2.bin" Type="http://schemas.openxmlformats.org/officeDocument/2006/relationships/oleObject"/><Relationship Id="rId44" Target="http://www.cbr.ru" TargetMode="External" Type="http://schemas.openxmlformats.org/officeDocument/2006/relationships/hyperlink"/><Relationship Id="rId65" Target="http://www.neftcity.ru/" TargetMode="External" Type="http://schemas.openxmlformats.org/officeDocument/2006/relationships/hyperlink"/><Relationship Id="rId86" Target="https://askino.bashkortostan.ru/" TargetMode="External" Type="http://schemas.openxmlformats.org/officeDocument/2006/relationships/hyperlink"/><Relationship Id="rId130" Target="https://iglino.bashkortostan.ru/" TargetMode="External" Type="http://schemas.openxmlformats.org/officeDocument/2006/relationships/hyperlink"/><Relationship Id="rId151" Target="https://meleuz.bashkortostan.ru/" TargetMode="External" Type="http://schemas.openxmlformats.org/officeDocument/2006/relationships/hyperlink"/><Relationship Id="rId172" Target="https://ufim.bashkortostan.ru/" TargetMode="External" Type="http://schemas.openxmlformats.org/officeDocument/2006/relationships/hyperlink"/><Relationship Id="rId193" Target="media/image4.png" Type="http://schemas.openxmlformats.org/officeDocument/2006/relationships/image"/><Relationship Id="rId207" Target="media/image18.png" Type="http://schemas.openxmlformats.org/officeDocument/2006/relationships/image"/><Relationship Id="rId228" Target="media/image39.jpeg" Type="http://schemas.openxmlformats.org/officeDocument/2006/relationships/image"/><Relationship Id="rId249" Target="media/image60.png" Type="http://schemas.openxmlformats.org/officeDocument/2006/relationships/image"/><Relationship Id="rId13" Target="#_Toc11934878" TargetMode="External" Type="http://schemas.openxmlformats.org/officeDocument/2006/relationships/hyperlink"/><Relationship Id="rId109" Target="https://buzdyak.bashkortostan.ru/" TargetMode="External" Type="http://schemas.openxmlformats.org/officeDocument/2006/relationships/hyperlink"/><Relationship Id="rId260" Target="media/image71.png" Type="http://schemas.openxmlformats.org/officeDocument/2006/relationships/image"/><Relationship Id="rId281" Target="media/image92.png" Type="http://schemas.openxmlformats.org/officeDocument/2006/relationships/image"/><Relationship Id="rId316" Target="media/image100.png" Type="http://schemas.openxmlformats.org/officeDocument/2006/relationships/image"/><Relationship Id="rId337" Target="http://www.cbr.ru" TargetMode="External" Type="http://schemas.openxmlformats.org/officeDocument/2006/relationships/hyperlink"/><Relationship Id="rId34" Target="#_Toc11934899" TargetMode="External" Type="http://schemas.openxmlformats.org/officeDocument/2006/relationships/hyperlink"/><Relationship Id="rId55" Target="http://journalpro.ru/" TargetMode="External" Type="http://schemas.openxmlformats.org/officeDocument/2006/relationships/hyperlink"/><Relationship Id="rId76" Target="http://www.ufacity.info/" TargetMode="External" Type="http://schemas.openxmlformats.org/officeDocument/2006/relationships/hyperlink"/><Relationship Id="rId97" Target="https://belokatai.bashkortostan.ru/" TargetMode="External" Type="http://schemas.openxmlformats.org/officeDocument/2006/relationships/hyperlink"/><Relationship Id="rId120" Target="https://duvan.bashkortostan.ru/" TargetMode="External" Type="http://schemas.openxmlformats.org/officeDocument/2006/relationships/hyperlink"/><Relationship Id="rId141" Target="https://kigi.bashkortostan.ru/" TargetMode="External" Type="http://schemas.openxmlformats.org/officeDocument/2006/relationships/hyperlink"/><Relationship Id="rId358" Target="embeddings/oleObject5.bin" Type="http://schemas.openxmlformats.org/officeDocument/2006/relationships/oleObject"/><Relationship Id="rId7" Target="media/image1.png" Type="http://schemas.openxmlformats.org/officeDocument/2006/relationships/image"/><Relationship Id="rId162" Target="https://admmaloyaz.bashkortostan.ru/" TargetMode="External" Type="http://schemas.openxmlformats.org/officeDocument/2006/relationships/hyperlink"/><Relationship Id="rId183" Target="https://sharan.bashkortostan.ru/" TargetMode="External" Type="http://schemas.openxmlformats.org/officeDocument/2006/relationships/hyperlink"/><Relationship Id="rId218" Target="media/image29.png" Type="http://schemas.openxmlformats.org/officeDocument/2006/relationships/image"/><Relationship Id="rId239" Target="media/image50.jpeg" Type="http://schemas.openxmlformats.org/officeDocument/2006/relationships/image"/><Relationship Id="rId250" Target="media/image61.jpeg" Type="http://schemas.openxmlformats.org/officeDocument/2006/relationships/image"/><Relationship Id="rId271" Target="media/image82.png" Type="http://schemas.openxmlformats.org/officeDocument/2006/relationships/image"/><Relationship Id="rId292" Target="http://www.move.ru" TargetMode="External" Type="http://schemas.openxmlformats.org/officeDocument/2006/relationships/hyperlink"/><Relationship Id="rId306" Target="footer4.xml" Type="http://schemas.openxmlformats.org/officeDocument/2006/relationships/footer"/><Relationship Id="rId24" Target="#_Toc11934889" TargetMode="External" Type="http://schemas.openxmlformats.org/officeDocument/2006/relationships/hyperlink"/><Relationship Id="rId45" Target="http://riarating.ru/" TargetMode="External" Type="http://schemas.openxmlformats.org/officeDocument/2006/relationships/hyperlink"/><Relationship Id="rId66" Target="http://neftcity.ru/" TargetMode="External" Type="http://schemas.openxmlformats.org/officeDocument/2006/relationships/hyperlink"/><Relationship Id="rId87" Target="https://aurgazy.bashkortostan.ru/" TargetMode="External" Type="http://schemas.openxmlformats.org/officeDocument/2006/relationships/hyperlink"/><Relationship Id="rId110" Target="https://buzdyak.bashkortostan.ru/" TargetMode="External" Type="http://schemas.openxmlformats.org/officeDocument/2006/relationships/hyperlink"/><Relationship Id="rId131" Target="https://ilesh.bashkortostan.ru/" TargetMode="External" Type="http://schemas.openxmlformats.org/officeDocument/2006/relationships/hyperlink"/><Relationship Id="rId327" Target="media/image110.jpeg" Type="http://schemas.openxmlformats.org/officeDocument/2006/relationships/image"/><Relationship Id="rId348" Target="media/image123.png" Type="http://schemas.openxmlformats.org/officeDocument/2006/relationships/image"/><Relationship Id="rId152" Target="https://meleuz.bashkortostan.ru/" TargetMode="External" Type="http://schemas.openxmlformats.org/officeDocument/2006/relationships/hyperlink"/><Relationship Id="rId173" Target="https://uchaly.bashkortostan.ru/" TargetMode="External" Type="http://schemas.openxmlformats.org/officeDocument/2006/relationships/hyperlink"/><Relationship Id="rId194" Target="media/image5.png" Type="http://schemas.openxmlformats.org/officeDocument/2006/relationships/image"/><Relationship Id="rId208" Target="media/image19.png" Type="http://schemas.openxmlformats.org/officeDocument/2006/relationships/image"/><Relationship Id="rId229" Target="media/image40.jpeg" Type="http://schemas.openxmlformats.org/officeDocument/2006/relationships/image"/><Relationship Id="rId240" Target="media/image51.jpeg" Type="http://schemas.openxmlformats.org/officeDocument/2006/relationships/image"/><Relationship Id="rId261" Target="media/image72.png" Type="http://schemas.openxmlformats.org/officeDocument/2006/relationships/image"/><Relationship Id="rId14" Target="#_Toc11934879" TargetMode="External" Type="http://schemas.openxmlformats.org/officeDocument/2006/relationships/hyperlink"/><Relationship Id="rId35" Target="#_Toc11934900" TargetMode="External" Type="http://schemas.openxmlformats.org/officeDocument/2006/relationships/hyperlink"/><Relationship Id="rId56" Target="https://raexpert.ru/" TargetMode="External" Type="http://schemas.openxmlformats.org/officeDocument/2006/relationships/hyperlink"/><Relationship Id="rId77" Target="https://mezhgorie.bashkortostan.ru/" TargetMode="External" Type="http://schemas.openxmlformats.org/officeDocument/2006/relationships/hyperlink"/><Relationship Id="rId100" Target="https://beloretsk.bashkortostan.ru/" TargetMode="External" Type="http://schemas.openxmlformats.org/officeDocument/2006/relationships/hyperlink"/><Relationship Id="rId282" Target="charts/chart1.xml" Type="http://schemas.openxmlformats.org/officeDocument/2006/relationships/chart"/><Relationship Id="rId317" Target="media/image101.png" Type="http://schemas.openxmlformats.org/officeDocument/2006/relationships/image"/><Relationship Id="rId338" Target="http://www.cbr.ru/hd_base/zcyc_params/" TargetMode="External" Type="http://schemas.openxmlformats.org/officeDocument/2006/relationships/hyperlink"/><Relationship Id="rId359" Target="embeddings/oleObject6.bin" Type="http://schemas.openxmlformats.org/officeDocument/2006/relationships/oleObject"/><Relationship Id="rId8" Target="footer1.xml" Type="http://schemas.openxmlformats.org/officeDocument/2006/relationships/footer"/><Relationship Id="rId98" Target="https://belokatai.bashkortostan.ru/" TargetMode="External" Type="http://schemas.openxmlformats.org/officeDocument/2006/relationships/hyperlink"/><Relationship Id="rId121" Target="https://durtuli.bashkortostan.ru/" TargetMode="External" Type="http://schemas.openxmlformats.org/officeDocument/2006/relationships/hyperlink"/><Relationship Id="rId142" Target="https://kigi.bashkortostan.ru/" TargetMode="External" Type="http://schemas.openxmlformats.org/officeDocument/2006/relationships/hyperlink"/><Relationship Id="rId163" Target="https://sterlibash.bashkortostan.ru/" TargetMode="External" Type="http://schemas.openxmlformats.org/officeDocument/2006/relationships/hyperlink"/><Relationship Id="rId184" Target="https://sharan.bashkortostan.ru/" TargetMode="External" Type="http://schemas.openxmlformats.org/officeDocument/2006/relationships/hyperlink"/><Relationship Id="rId219" Target="media/image30.png" Type="http://schemas.openxmlformats.org/officeDocument/2006/relationships/image"/><Relationship Id="rId230" Target="media/image41.jpeg" Type="http://schemas.openxmlformats.org/officeDocument/2006/relationships/image"/><Relationship Id="rId251" Target="media/image62.jpeg" Type="http://schemas.openxmlformats.org/officeDocument/2006/relationships/image"/><Relationship Id="rId25" Target="#_Toc11934890" TargetMode="External" Type="http://schemas.openxmlformats.org/officeDocument/2006/relationships/hyperlink"/><Relationship Id="rId46" Target="http://greenpatrol.ru/" TargetMode="External" Type="http://schemas.openxmlformats.org/officeDocument/2006/relationships/hyperlink"/><Relationship Id="rId67" Target="http://www.oktadm.ru/" TargetMode="External" Type="http://schemas.openxmlformats.org/officeDocument/2006/relationships/hyperlink"/><Relationship Id="rId272" Target="media/image83.png" Type="http://schemas.openxmlformats.org/officeDocument/2006/relationships/image"/><Relationship Id="rId293" Target="http://www.multilisting.su" TargetMode="External" Type="http://schemas.openxmlformats.org/officeDocument/2006/relationships/hyperlink"/><Relationship Id="rId307" Target="header5.xml" Type="http://schemas.openxmlformats.org/officeDocument/2006/relationships/header"/><Relationship Id="rId328" Target="media/image111.jpeg" Type="http://schemas.openxmlformats.org/officeDocument/2006/relationships/image"/><Relationship Id="rId349" Target="embeddings/oleObject3.bin" Type="http://schemas.openxmlformats.org/officeDocument/2006/relationships/oleObject"/><Relationship Id="rId88" Target="https://aurgazy.bashkortostan.ru/" TargetMode="External" Type="http://schemas.openxmlformats.org/officeDocument/2006/relationships/hyperlink"/><Relationship Id="rId111" Target="https://buraevo.bashkortostan.ru/" TargetMode="External" Type="http://schemas.openxmlformats.org/officeDocument/2006/relationships/hyperlink"/><Relationship Id="rId132" Target="https://ilesh.bashkortostan.ru/" TargetMode="External" Type="http://schemas.openxmlformats.org/officeDocument/2006/relationships/hyperlink"/><Relationship Id="rId153" Target="https://mechetly.bashkortostan.ru/" TargetMode="External" Type="http://schemas.openxmlformats.org/officeDocument/2006/relationships/hyperlink"/><Relationship Id="rId174" Target="https://uchaly.bashkortostan.ru/" TargetMode="External" Type="http://schemas.openxmlformats.org/officeDocument/2006/relationships/hyperlink"/><Relationship Id="rId195" Target="media/image6.png" Type="http://schemas.openxmlformats.org/officeDocument/2006/relationships/image"/><Relationship Id="rId209" Target="media/image20.png" Type="http://schemas.openxmlformats.org/officeDocument/2006/relationships/image"/><Relationship Id="rId360" Target="charts/chart10.xml" Type="http://schemas.openxmlformats.org/officeDocument/2006/relationships/chart"/><Relationship Id="rId220" Target="media/image31.jpeg" Type="http://schemas.openxmlformats.org/officeDocument/2006/relationships/image"/><Relationship Id="rId241" Target="media/image52.jpeg" Type="http://schemas.openxmlformats.org/officeDocument/2006/relationships/image"/><Relationship Id="rId15" Target="#_Toc11934880" TargetMode="External" Type="http://schemas.openxmlformats.org/officeDocument/2006/relationships/hyperlink"/><Relationship Id="rId36" Target="#_Toc11934901" TargetMode="External" Type="http://schemas.openxmlformats.org/officeDocument/2006/relationships/hyperlink"/><Relationship Id="rId57" Target="http://arktikfish.com/" TargetMode="External" Type="http://schemas.openxmlformats.org/officeDocument/2006/relationships/hyperlink"/><Relationship Id="rId106" Target="https://blagovar.bashkortostan.ru/" TargetMode="External" Type="http://schemas.openxmlformats.org/officeDocument/2006/relationships/hyperlink"/><Relationship Id="rId127" Target="https://zilair.bashkortostan.ru/" TargetMode="External" Type="http://schemas.openxmlformats.org/officeDocument/2006/relationships/hyperlink"/><Relationship Id="rId262" Target="media/image73.png" Type="http://schemas.openxmlformats.org/officeDocument/2006/relationships/image"/><Relationship Id="rId283" Target="media/image93.png" Type="http://schemas.openxmlformats.org/officeDocument/2006/relationships/image"/><Relationship Id="rId313" Target="footer7.xml" Type="http://schemas.openxmlformats.org/officeDocument/2006/relationships/footer"/><Relationship Id="rId318" Target="media/image102.png" Type="http://schemas.openxmlformats.org/officeDocument/2006/relationships/image"/><Relationship Id="rId339" Target="media/image116.jpeg" Type="http://schemas.openxmlformats.org/officeDocument/2006/relationships/image"/><Relationship Id="rId10" Target="#_Toc11934875" TargetMode="External" Type="http://schemas.openxmlformats.org/officeDocument/2006/relationships/hyperlink"/><Relationship Id="rId31" Target="#_Toc11934896" TargetMode="External" Type="http://schemas.openxmlformats.org/officeDocument/2006/relationships/hyperlink"/><Relationship Id="rId52" Target="https://premier-tur.com/" TargetMode="External" Type="http://schemas.openxmlformats.org/officeDocument/2006/relationships/hyperlink"/><Relationship Id="rId73" Target="http://www.sterlitamakadm.ru/" TargetMode="External" Type="http://schemas.openxmlformats.org/officeDocument/2006/relationships/hyperlink"/><Relationship Id="rId78" Target="http://mezhgorie.ru/" TargetMode="External" Type="http://schemas.openxmlformats.org/officeDocument/2006/relationships/hyperlink"/><Relationship Id="rId94" Target="https://baltachevo.bashkortostan.ru/" TargetMode="External" Type="http://schemas.openxmlformats.org/officeDocument/2006/relationships/hyperlink"/><Relationship Id="rId99" Target="https://beloretsk.bashkortostan.ru/" TargetMode="External" Type="http://schemas.openxmlformats.org/officeDocument/2006/relationships/hyperlink"/><Relationship Id="rId101" Target="https://bizhbulyak.bashkortostan.ru/" TargetMode="External" Type="http://schemas.openxmlformats.org/officeDocument/2006/relationships/hyperlink"/><Relationship Id="rId122" Target="https://durtuli.bashkortostan.ru/" TargetMode="External" Type="http://schemas.openxmlformats.org/officeDocument/2006/relationships/hyperlink"/><Relationship Id="rId143" Target="https://krasnokama.bashkortostan.ru/" TargetMode="External" Type="http://schemas.openxmlformats.org/officeDocument/2006/relationships/hyperlink"/><Relationship Id="rId148" Target="https://kushnarenkovo.bashkortostan.ru/" TargetMode="External" Type="http://schemas.openxmlformats.org/officeDocument/2006/relationships/hyperlink"/><Relationship Id="rId164" Target="https://sterlibash.bashkortostan.ru/" TargetMode="External" Type="http://schemas.openxmlformats.org/officeDocument/2006/relationships/hyperlink"/><Relationship Id="rId169" Target="https://tuimazy.bashkortostan.ru/" TargetMode="External" Type="http://schemas.openxmlformats.org/officeDocument/2006/relationships/hyperlink"/><Relationship Id="rId185" Target="https://yanaul.bashkortostan.ru/" TargetMode="External" Type="http://schemas.openxmlformats.org/officeDocument/2006/relationships/hyperlink"/><Relationship Id="rId334" Target="#P655" TargetMode="External" Type="http://schemas.openxmlformats.org/officeDocument/2006/relationships/hyperlink"/><Relationship Id="rId350" Target="embeddings/oleObject4.bin" Type="http://schemas.openxmlformats.org/officeDocument/2006/relationships/oleObject"/><Relationship Id="rId355" Target="media/image125.jpeg" Type="http://schemas.openxmlformats.org/officeDocument/2006/relationships/image"/><Relationship Id="rId4" Target="webSettings.xml" Type="http://schemas.openxmlformats.org/officeDocument/2006/relationships/webSettings"/><Relationship Id="rId9" Target="header1.xml" Type="http://schemas.openxmlformats.org/officeDocument/2006/relationships/header"/><Relationship Id="rId180" Target="https://chekmagush.bashkortostan.ru/" TargetMode="External" Type="http://schemas.openxmlformats.org/officeDocument/2006/relationships/hyperlink"/><Relationship Id="rId210" Target="media/image21.png" Type="http://schemas.openxmlformats.org/officeDocument/2006/relationships/image"/><Relationship Id="rId215" Target="media/image26.png" Type="http://schemas.openxmlformats.org/officeDocument/2006/relationships/image"/><Relationship Id="rId236" Target="media/image47.jpeg" Type="http://schemas.openxmlformats.org/officeDocument/2006/relationships/image"/><Relationship Id="rId257" Target="media/image68.png" Type="http://schemas.openxmlformats.org/officeDocument/2006/relationships/image"/><Relationship Id="rId278" Target="media/image89.png" Type="http://schemas.openxmlformats.org/officeDocument/2006/relationships/image"/><Relationship Id="rId26" Target="#_Toc11934891" TargetMode="External" Type="http://schemas.openxmlformats.org/officeDocument/2006/relationships/hyperlink"/><Relationship Id="rId231" Target="media/image42.jpeg" Type="http://schemas.openxmlformats.org/officeDocument/2006/relationships/image"/><Relationship Id="rId252" Target="media/image63.jpeg" Type="http://schemas.openxmlformats.org/officeDocument/2006/relationships/image"/><Relationship Id="rId273" Target="media/image84.png" Type="http://schemas.openxmlformats.org/officeDocument/2006/relationships/image"/><Relationship Id="rId294" Target="http://www.n002.ru" TargetMode="External" Type="http://schemas.openxmlformats.org/officeDocument/2006/relationships/hyperlink"/><Relationship Id="rId308" Target="footer5.xml" Type="http://schemas.openxmlformats.org/officeDocument/2006/relationships/footer"/><Relationship Id="rId329" Target="charts/chart8.xml" Type="http://schemas.openxmlformats.org/officeDocument/2006/relationships/chart"/><Relationship Id="rId47" Target="http://profaviarb.ru/kontakty" TargetMode="External" Type="http://schemas.openxmlformats.org/officeDocument/2006/relationships/hyperlink"/><Relationship Id="rId68" Target="http://www.oktadm.ru/" TargetMode="External" Type="http://schemas.openxmlformats.org/officeDocument/2006/relationships/hyperlink"/><Relationship Id="rId89" Target="https://baimak.bashkortostan.ru/" TargetMode="External" Type="http://schemas.openxmlformats.org/officeDocument/2006/relationships/hyperlink"/><Relationship Id="rId112" Target="https://buraevo.bashkortostan.ru/" TargetMode="External" Type="http://schemas.openxmlformats.org/officeDocument/2006/relationships/hyperlink"/><Relationship Id="rId133" Target="https://ishimbaimr.bashkortostan.ru/" TargetMode="External" Type="http://schemas.openxmlformats.org/officeDocument/2006/relationships/hyperlink"/><Relationship Id="rId154" Target="https://mechetly.bashkortostan.ru/" TargetMode="External" Type="http://schemas.openxmlformats.org/officeDocument/2006/relationships/hyperlink"/><Relationship Id="rId175" Target="https://fedorovka.bashkortostan.ru/" TargetMode="External" Type="http://schemas.openxmlformats.org/officeDocument/2006/relationships/hyperlink"/><Relationship Id="rId340" Target="media/image117.jpeg" Type="http://schemas.openxmlformats.org/officeDocument/2006/relationships/image"/><Relationship Id="rId361" Target="header8.xml" Type="http://schemas.openxmlformats.org/officeDocument/2006/relationships/header"/><Relationship Id="rId196" Target="media/image7.png" Type="http://schemas.openxmlformats.org/officeDocument/2006/relationships/image"/><Relationship Id="rId200" Target="media/image11.png" Type="http://schemas.openxmlformats.org/officeDocument/2006/relationships/image"/><Relationship Id="rId16" Target="#_Toc11934881" TargetMode="External" Type="http://schemas.openxmlformats.org/officeDocument/2006/relationships/hyperlink"/><Relationship Id="rId221" Target="media/image32.jpeg" Type="http://schemas.openxmlformats.org/officeDocument/2006/relationships/image"/><Relationship Id="rId242" Target="media/image53.jpeg" Type="http://schemas.openxmlformats.org/officeDocument/2006/relationships/image"/><Relationship Id="rId263" Target="media/image74.png" Type="http://schemas.openxmlformats.org/officeDocument/2006/relationships/image"/><Relationship Id="rId284" Target="charts/chart2.xml" Type="http://schemas.openxmlformats.org/officeDocument/2006/relationships/chart"/><Relationship Id="rId319" Target="charts/chart7.xml" Type="http://schemas.openxmlformats.org/officeDocument/2006/relationships/chart"/><Relationship Id="rId37" Target="#_Toc11934902" TargetMode="External" Type="http://schemas.openxmlformats.org/officeDocument/2006/relationships/hyperlink"/><Relationship Id="rId58" Target="https://buzinushka.ru/" TargetMode="External" Type="http://schemas.openxmlformats.org/officeDocument/2006/relationships/hyperlink"/><Relationship Id="rId79" Target="http://www.abyalil.ru/" TargetMode="External" Type="http://schemas.openxmlformats.org/officeDocument/2006/relationships/hyperlink"/><Relationship Id="rId102" Target="https://bizhbulyak.bashkortostan.ru/" TargetMode="External" Type="http://schemas.openxmlformats.org/officeDocument/2006/relationships/hyperlink"/><Relationship Id="rId123" Target="https://ermekeevo.bashkortostan.ru/" TargetMode="External" Type="http://schemas.openxmlformats.org/officeDocument/2006/relationships/hyperlink"/><Relationship Id="rId144" Target="https://krasnokama.bashkortostan.ru/" TargetMode="External" Type="http://schemas.openxmlformats.org/officeDocument/2006/relationships/hyperlink"/><Relationship Id="rId330" Target="media/image112.jpeg" Type="http://schemas.openxmlformats.org/officeDocument/2006/relationships/image"/><Relationship Id="rId90" Target="https://baimak.bashkortostan.ru/" TargetMode="External" Type="http://schemas.openxmlformats.org/officeDocument/2006/relationships/hyperlink"/><Relationship Id="rId165" Target="http://www.str-raion.ru/" TargetMode="External" Type="http://schemas.openxmlformats.org/officeDocument/2006/relationships/hyperlink"/><Relationship Id="rId186" Target="https://yanaul.bashkortostan.ru/" TargetMode="External" Type="http://schemas.openxmlformats.org/officeDocument/2006/relationships/hyperlink"/><Relationship Id="rId351" Target="#OLE_LINK16" TargetMode="External" Type="http://schemas.openxmlformats.org/officeDocument/2006/relationships/hyperlink"/><Relationship Id="rId211" Target="media/image22.png" Type="http://schemas.openxmlformats.org/officeDocument/2006/relationships/image"/><Relationship Id="rId232" Target="media/image43.jpeg" Type="http://schemas.openxmlformats.org/officeDocument/2006/relationships/image"/><Relationship Id="rId253" Target="media/image64.jpeg" Type="http://schemas.openxmlformats.org/officeDocument/2006/relationships/image"/><Relationship Id="rId274" Target="media/image85.png" Type="http://schemas.openxmlformats.org/officeDocument/2006/relationships/image"/><Relationship Id="rId295" Target="http://www.realty.yandex.ru" TargetMode="External" Type="http://schemas.openxmlformats.org/officeDocument/2006/relationships/hyperlink"/><Relationship Id="rId309" Target="media/image97.wmf" Type="http://schemas.openxmlformats.org/officeDocument/2006/relationships/image"/><Relationship Id="rId27" Target="#_Toc11934892" TargetMode="External" Type="http://schemas.openxmlformats.org/officeDocument/2006/relationships/hyperlink"/><Relationship Id="rId48" Target="https://statrielt.ru/" TargetMode="External" Type="http://schemas.openxmlformats.org/officeDocument/2006/relationships/hyperlink"/><Relationship Id="rId69" Target="https://salavat.bashkortostan.ru/" TargetMode="External" Type="http://schemas.openxmlformats.org/officeDocument/2006/relationships/hyperlink"/><Relationship Id="rId113" Target="https://burzyan.bashkortostan.ru/" TargetMode="External" Type="http://schemas.openxmlformats.org/officeDocument/2006/relationships/hyperlink"/><Relationship Id="rId134" Target="https://ishimbaimr.bashkortostan.ru/" TargetMode="External" Type="http://schemas.openxmlformats.org/officeDocument/2006/relationships/hyperlink"/><Relationship Id="rId320" Target="media/image103.png" Type="http://schemas.openxmlformats.org/officeDocument/2006/relationships/image"/><Relationship Id="rId80" Target="http://www.abyalil.ru/" TargetMode="External" Type="http://schemas.openxmlformats.org/officeDocument/2006/relationships/hyperlink"/><Relationship Id="rId155" Target="https://mishkan.bashkortostan.ru/" TargetMode="External" Type="http://schemas.openxmlformats.org/officeDocument/2006/relationships/hyperlink"/><Relationship Id="rId176" Target="https://fedorovka.bashkortostan.ru/" TargetMode="External" Type="http://schemas.openxmlformats.org/officeDocument/2006/relationships/hyperlink"/><Relationship Id="rId197" Target="media/image8.png" Type="http://schemas.openxmlformats.org/officeDocument/2006/relationships/image"/><Relationship Id="rId341" Target="media/image118.png" Type="http://schemas.openxmlformats.org/officeDocument/2006/relationships/image"/><Relationship Id="rId362" Target="footer8.xml" Type="http://schemas.openxmlformats.org/officeDocument/2006/relationships/footer"/><Relationship Id="rId201" Target="media/image12.png" Type="http://schemas.openxmlformats.org/officeDocument/2006/relationships/image"/><Relationship Id="rId222" Target="media/image33.jpeg" Type="http://schemas.openxmlformats.org/officeDocument/2006/relationships/image"/><Relationship Id="rId243" Target="media/image54.jpeg" Type="http://schemas.openxmlformats.org/officeDocument/2006/relationships/image"/><Relationship Id="rId264" Target="media/image75.png" Type="http://schemas.openxmlformats.org/officeDocument/2006/relationships/image"/><Relationship Id="rId285" Target="charts/chart3.xml" Type="http://schemas.openxmlformats.org/officeDocument/2006/relationships/chart"/><Relationship Id="rId17" Target="#_Toc11934882" TargetMode="External" Type="http://schemas.openxmlformats.org/officeDocument/2006/relationships/hyperlink"/><Relationship Id="rId38" Target="#_Toc11934903" TargetMode="External" Type="http://schemas.openxmlformats.org/officeDocument/2006/relationships/hyperlink"/><Relationship Id="rId59" Target="http://xn----7sbacsfsccnbdnzsqis3h5a6ivbm.xn--p1ai/" TargetMode="External" Type="http://schemas.openxmlformats.org/officeDocument/2006/relationships/hyperlink"/><Relationship Id="rId103" Target="http://www.admbirsk.ru/" TargetMode="External" Type="http://schemas.openxmlformats.org/officeDocument/2006/relationships/hyperlink"/><Relationship Id="rId124" Target="https://ermekeevo.bashkortostan.ru/" TargetMode="External" Type="http://schemas.openxmlformats.org/officeDocument/2006/relationships/hyperlink"/><Relationship Id="rId310" Target="header6.xml" Type="http://schemas.openxmlformats.org/officeDocument/2006/relationships/header"/><Relationship Id="rId70" Target="https://salavat.bashkortostan.ru/" TargetMode="External" Type="http://schemas.openxmlformats.org/officeDocument/2006/relationships/hyperlink"/><Relationship Id="rId91" Target="https://bakaly.bashkortostan.ru/" TargetMode="External" Type="http://schemas.openxmlformats.org/officeDocument/2006/relationships/hyperlink"/><Relationship Id="rId145" Target="https://admkugarchi.bashkortostan.ru/" TargetMode="External" Type="http://schemas.openxmlformats.org/officeDocument/2006/relationships/hyperlink"/><Relationship Id="rId166" Target="http://www.str-raion.ru/" TargetMode="External" Type="http://schemas.openxmlformats.org/officeDocument/2006/relationships/hyperlink"/><Relationship Id="rId187" Target="media/image2.jpeg" Type="http://schemas.openxmlformats.org/officeDocument/2006/relationships/image"/><Relationship Id="rId331" Target="charts/chart9.xml" Type="http://schemas.openxmlformats.org/officeDocument/2006/relationships/chart"/><Relationship Id="rId352" Target="#OLE_LINK17" TargetMode="External" Type="http://schemas.openxmlformats.org/officeDocument/2006/relationships/hyperlink"/><Relationship Id="rId1" Target="numbering.xml" Type="http://schemas.openxmlformats.org/officeDocument/2006/relationships/numbering"/><Relationship Id="rId212" Target="media/image23.png" Type="http://schemas.openxmlformats.org/officeDocument/2006/relationships/image"/><Relationship Id="rId233" Target="media/image44.jpeg" Type="http://schemas.openxmlformats.org/officeDocument/2006/relationships/image"/><Relationship Id="rId254" Target="media/image65.jpeg" Type="http://schemas.openxmlformats.org/officeDocument/2006/relationships/image"/><Relationship Id="rId28" Target="#_Toc11934893" TargetMode="External" Type="http://schemas.openxmlformats.org/officeDocument/2006/relationships/hyperlink"/><Relationship Id="rId49" Target="https://business-asset.com/ru/" TargetMode="External" Type="http://schemas.openxmlformats.org/officeDocument/2006/relationships/hyperlink"/><Relationship Id="rId114" Target="https://burzyan.bashkortostan.ru/" TargetMode="External" Type="http://schemas.openxmlformats.org/officeDocument/2006/relationships/hyperlink"/><Relationship Id="rId275" Target="media/image86.png" Type="http://schemas.openxmlformats.org/officeDocument/2006/relationships/image"/><Relationship Id="rId296" Target="http://www.rosrealt.ru" TargetMode="External" Type="http://schemas.openxmlformats.org/officeDocument/2006/relationships/hyperlink"/><Relationship Id="rId300" Target="http://www.unibo.ru" TargetMode="External" Type="http://schemas.openxmlformats.org/officeDocument/2006/relationships/hyperlink"/><Relationship Id="rId60" Target="https://torgi.gov.ru/" TargetMode="External" Type="http://schemas.openxmlformats.org/officeDocument/2006/relationships/hyperlink"/><Relationship Id="rId81" Target="https://alshei.bashkortostan.ru/" TargetMode="External" Type="http://schemas.openxmlformats.org/officeDocument/2006/relationships/hyperlink"/><Relationship Id="rId135" Target="https://kaltasin.bashkortostan.ru/" TargetMode="External" Type="http://schemas.openxmlformats.org/officeDocument/2006/relationships/hyperlink"/><Relationship Id="rId156" Target="https://mishkan.bashkortostan.ru/" TargetMode="External" Type="http://schemas.openxmlformats.org/officeDocument/2006/relationships/hyperlink"/><Relationship Id="rId177" Target="https://haibulla.bashkortostan.ru/" TargetMode="External" Type="http://schemas.openxmlformats.org/officeDocument/2006/relationships/hyperlink"/><Relationship Id="rId198" Target="media/image9.png" Type="http://schemas.openxmlformats.org/officeDocument/2006/relationships/image"/><Relationship Id="rId321" Target="media/image104.jpeg" Type="http://schemas.openxmlformats.org/officeDocument/2006/relationships/image"/><Relationship Id="rId342" Target="media/image119.png" Type="http://schemas.openxmlformats.org/officeDocument/2006/relationships/image"/><Relationship Id="rId363" Target="fontTable.xml" Type="http://schemas.openxmlformats.org/officeDocument/2006/relationships/fontTable"/><Relationship Id="rId202" Target="media/image13.png" Type="http://schemas.openxmlformats.org/officeDocument/2006/relationships/image"/><Relationship Id="rId223" Target="media/image34.jpeg" Type="http://schemas.openxmlformats.org/officeDocument/2006/relationships/image"/><Relationship Id="rId244" Target="media/image55.jpeg" Type="http://schemas.openxmlformats.org/officeDocument/2006/relationships/image"/><Relationship Id="rId18" Target="#_Toc11934883" TargetMode="External" Type="http://schemas.openxmlformats.org/officeDocument/2006/relationships/hyperlink"/><Relationship Id="rId39" Target="https://pravitelstvorb.ru" TargetMode="External" Type="http://schemas.openxmlformats.org/officeDocument/2006/relationships/hyperlink"/><Relationship Id="rId265" Target="media/image76.png" Type="http://schemas.openxmlformats.org/officeDocument/2006/relationships/image"/><Relationship Id="rId286" Target="charts/chart4.xml" Type="http://schemas.openxmlformats.org/officeDocument/2006/relationships/chart"/><Relationship Id="rId50" Target="http://hotelier.pro/" TargetMode="External" Type="http://schemas.openxmlformats.org/officeDocument/2006/relationships/hyperlink"/><Relationship Id="rId104" Target="https://birsk.bashkortostan.ru/" TargetMode="External" Type="http://schemas.openxmlformats.org/officeDocument/2006/relationships/hyperlink"/><Relationship Id="rId125" Target="https://zianchura.bashkortostan.ru/" TargetMode="External" Type="http://schemas.openxmlformats.org/officeDocument/2006/relationships/hyperlink"/><Relationship Id="rId146" Target="https://admkugarchi.bashkortostan.ru/" TargetMode="External" Type="http://schemas.openxmlformats.org/officeDocument/2006/relationships/hyperlink"/><Relationship Id="rId167" Target="https://tatyshlinski.bashkortostan.ru/" TargetMode="External" Type="http://schemas.openxmlformats.org/officeDocument/2006/relationships/hyperlink"/><Relationship Id="rId188" Target="header2.xml" Type="http://schemas.openxmlformats.org/officeDocument/2006/relationships/header"/><Relationship Id="rId311" Target="footer6.xml" Type="http://schemas.openxmlformats.org/officeDocument/2006/relationships/footer"/><Relationship Id="rId332" Target="media/image113.png" Type="http://schemas.openxmlformats.org/officeDocument/2006/relationships/image"/><Relationship Id="rId353" Target="#&#1069;&#1090;&#1072;&#1083;&#1086;&#1085;&#1085;&#1099;&#1081;" TargetMode="External" Type="http://schemas.openxmlformats.org/officeDocument/2006/relationships/hyperlink"/><Relationship Id="rId71" Target="https://sibay.bashkortostan.ru/" TargetMode="External" Type="http://schemas.openxmlformats.org/officeDocument/2006/relationships/hyperlink"/><Relationship Id="rId92" Target="https://bakaly.bashkortostan.ru/" TargetMode="External" Type="http://schemas.openxmlformats.org/officeDocument/2006/relationships/hyperlink"/><Relationship Id="rId213" Target="media/image24.png" Type="http://schemas.openxmlformats.org/officeDocument/2006/relationships/image"/><Relationship Id="rId234" Target="media/image45.jpeg" Type="http://schemas.openxmlformats.org/officeDocument/2006/relationships/image"/><Relationship Id="rId2" Target="styles.xml" Type="http://schemas.openxmlformats.org/officeDocument/2006/relationships/styles"/><Relationship Id="rId29" Target="#_Toc11934894" TargetMode="External" Type="http://schemas.openxmlformats.org/officeDocument/2006/relationships/hyperlink"/><Relationship Id="rId255" Target="media/image66.jpeg" Type="http://schemas.openxmlformats.org/officeDocument/2006/relationships/image"/><Relationship Id="rId276" Target="media/image87.png" Type="http://schemas.openxmlformats.org/officeDocument/2006/relationships/image"/><Relationship Id="rId297" Target="http://www.ruads.org" TargetMode="External" Type="http://schemas.openxmlformats.org/officeDocument/2006/relationships/hyperlink"/><Relationship Id="rId40" Target="https://minfin.bashkortostan.ru" TargetMode="External" Type="http://schemas.openxmlformats.org/officeDocument/2006/relationships/hyperlink"/><Relationship Id="rId115" Target="http://gafury.bashkortostan.ru/" TargetMode="External" Type="http://schemas.openxmlformats.org/officeDocument/2006/relationships/hyperlink"/><Relationship Id="rId136" Target="https://kaltasin.bashkortostan.ru/" TargetMode="External" Type="http://schemas.openxmlformats.org/officeDocument/2006/relationships/hyperlink"/><Relationship Id="rId157" Target="https://miyaki.bashkortostan.ru/" TargetMode="External" Type="http://schemas.openxmlformats.org/officeDocument/2006/relationships/hyperlink"/><Relationship Id="rId178" Target="https://haibulla.bashkortostan.ru/" TargetMode="External" Type="http://schemas.openxmlformats.org/officeDocument/2006/relationships/hyperlink"/><Relationship Id="rId301" Target="media/image95.png" Type="http://schemas.openxmlformats.org/officeDocument/2006/relationships/image"/><Relationship Id="rId322" Target="media/image105.jpeg" Type="http://schemas.openxmlformats.org/officeDocument/2006/relationships/image"/><Relationship Id="rId343" Target="media/image120.png" Type="http://schemas.openxmlformats.org/officeDocument/2006/relationships/image"/><Relationship Id="rId364" Target="theme/theme1.xml" Type="http://schemas.openxmlformats.org/officeDocument/2006/relationships/theme"/><Relationship Id="rId61" Target="http://www.lesonline.ru/" TargetMode="External" Type="http://schemas.openxmlformats.org/officeDocument/2006/relationships/hyperlink"/><Relationship Id="rId82" Target="https://alshei.bashkortostan.ru/" TargetMode="External" Type="http://schemas.openxmlformats.org/officeDocument/2006/relationships/hyperlink"/><Relationship Id="rId199" Target="media/image10.png" Type="http://schemas.openxmlformats.org/officeDocument/2006/relationships/image"/><Relationship Id="rId203" Target="media/image14.png" Type="http://schemas.openxmlformats.org/officeDocument/2006/relationships/image"/><Relationship Id="rId19" Target="#_Toc11934884" TargetMode="External" Type="http://schemas.openxmlformats.org/officeDocument/2006/relationships/hyperlink"/><Relationship Id="rId224" Target="media/image35.png" Type="http://schemas.openxmlformats.org/officeDocument/2006/relationships/image"/><Relationship Id="rId245" Target="media/image56.png" Type="http://schemas.openxmlformats.org/officeDocument/2006/relationships/image"/><Relationship Id="rId266" Target="media/image77.png" Type="http://schemas.openxmlformats.org/officeDocument/2006/relationships/image"/><Relationship Id="rId287" Target="media/image94.png" Type="http://schemas.openxmlformats.org/officeDocument/2006/relationships/image"/><Relationship Id="rId30" Target="#_Toc11934895" TargetMode="External" Type="http://schemas.openxmlformats.org/officeDocument/2006/relationships/hyperlink"/><Relationship Id="rId105" Target="https://blagovar.bashkortostan.ru/" TargetMode="External" Type="http://schemas.openxmlformats.org/officeDocument/2006/relationships/hyperlink"/><Relationship Id="rId126" Target="https://zianchura.bashkortostan.ru/" TargetMode="External" Type="http://schemas.openxmlformats.org/officeDocument/2006/relationships/hyperlink"/><Relationship Id="rId147" Target="http://kushnarenkovo.bashkortostan.ru/" TargetMode="External" Type="http://schemas.openxmlformats.org/officeDocument/2006/relationships/hyperlink"/><Relationship Id="rId168" Target="https://tatyshlinski.bashkortostan.ru/" TargetMode="External" Type="http://schemas.openxmlformats.org/officeDocument/2006/relationships/hyperlink"/><Relationship Id="rId312" Target="header7.xml" Type="http://schemas.openxmlformats.org/officeDocument/2006/relationships/header"/><Relationship Id="rId333" Target="#P655" TargetMode="External" Type="http://schemas.openxmlformats.org/officeDocument/2006/relationships/hyperlink"/><Relationship Id="rId354" Target="media/image124.jpeg" Type="http://schemas.openxmlformats.org/officeDocument/2006/relationships/image"/><Relationship Id="rId51" Target="https://www.russiatourism.ru/" TargetMode="External" Type="http://schemas.openxmlformats.org/officeDocument/2006/relationships/hyperlink"/><Relationship Id="rId72" Target="https://sibay.bashkortostan.ru/" TargetMode="External" Type="http://schemas.openxmlformats.org/officeDocument/2006/relationships/hyperlink"/><Relationship Id="rId93" Target="https://baltachevo.bashkortostan.ru/" TargetMode="External" Type="http://schemas.openxmlformats.org/officeDocument/2006/relationships/hyperlink"/><Relationship Id="rId189" Target="footer2.xml" Type="http://schemas.openxmlformats.org/officeDocument/2006/relationships/footer"/><Relationship Id="rId3" Target="settings.xml" Type="http://schemas.openxmlformats.org/officeDocument/2006/relationships/settings"/><Relationship Id="rId214" Target="media/image25.jpeg" Type="http://schemas.openxmlformats.org/officeDocument/2006/relationships/image"/><Relationship Id="rId235" Target="media/image46.jpeg" Type="http://schemas.openxmlformats.org/officeDocument/2006/relationships/image"/><Relationship Id="rId256" Target="media/image67.jpeg" Type="http://schemas.openxmlformats.org/officeDocument/2006/relationships/image"/><Relationship Id="rId277" Target="media/image88.png" Type="http://schemas.openxmlformats.org/officeDocument/2006/relationships/image"/><Relationship Id="rId298" Target="http://www.sindom.ru" TargetMode="External" Type="http://schemas.openxmlformats.org/officeDocument/2006/relationships/hyperlink"/><Relationship Id="rId116" Target="https://gafury.bashkortostan.ru/" TargetMode="External" Type="http://schemas.openxmlformats.org/officeDocument/2006/relationships/hyperlink"/><Relationship Id="rId137" Target="https://karaidel.bashkortostan.ru/" TargetMode="External" Type="http://schemas.openxmlformats.org/officeDocument/2006/relationships/hyperlink"/><Relationship Id="rId158" Target="https://miyaki.bashkortostan.ru/" TargetMode="External" Type="http://schemas.openxmlformats.org/officeDocument/2006/relationships/hyperlink"/><Relationship Id="rId302" Target="media/image96.jpeg" Type="http://schemas.openxmlformats.org/officeDocument/2006/relationships/image"/><Relationship Id="rId323" Target="media/image106.png" Type="http://schemas.openxmlformats.org/officeDocument/2006/relationships/image"/><Relationship Id="rId344" Target="media/image121.wmf" Type="http://schemas.openxmlformats.org/officeDocument/2006/relationships/image"/><Relationship Id="rId20" Target="#_Toc11934885" TargetMode="External" Type="http://schemas.openxmlformats.org/officeDocument/2006/relationships/hyperlink"/><Relationship Id="rId41" Target="http://economy.gov.ru/" TargetMode="External" Type="http://schemas.openxmlformats.org/officeDocument/2006/relationships/hyperlink"/><Relationship Id="rId62" Target="https://agidel.bashkortostan.ru/" TargetMode="External" Type="http://schemas.openxmlformats.org/officeDocument/2006/relationships/hyperlink"/><Relationship Id="rId83" Target="https://arhangel.bashkortostan.ru/" TargetMode="External" Type="http://schemas.openxmlformats.org/officeDocument/2006/relationships/hyperlink"/><Relationship Id="rId179" Target="https://chekmagush.bashkortostan.ru/" TargetMode="External" Type="http://schemas.openxmlformats.org/officeDocument/2006/relationships/hyperlink"/><Relationship Id="rId190" Target="header3.xml" Type="http://schemas.openxmlformats.org/officeDocument/2006/relationships/header"/><Relationship Id="rId204" Target="media/image15.png" Type="http://schemas.openxmlformats.org/officeDocument/2006/relationships/image"/><Relationship Id="rId225" Target="media/image36.png" Type="http://schemas.openxmlformats.org/officeDocument/2006/relationships/image"/><Relationship Id="rId246" Target="media/image57.png" Type="http://schemas.openxmlformats.org/officeDocument/2006/relationships/image"/><Relationship Id="rId267" Target="media/image78.png" Type="http://schemas.openxmlformats.org/officeDocument/2006/relationships/image"/><Relationship Id="rId288" Target="http://www.avito.ru" TargetMode="External" Type="http://schemas.openxmlformats.org/officeDocument/2006/relationships/hyperlink"/></Relationships>
</file>

<file path=word/_rels/footnotes.xml.rels><?xml version="1.0" encoding="UTF-8" standalone="yes"?>
<Relationships xmlns="http://schemas.openxmlformats.org/package/2006/relationships"><Relationship Id="rId3" Type="http://schemas.openxmlformats.org/officeDocument/2006/relationships/hyperlink" Target="https://statrielt.ru/statistika-rynka/statistika-na-01-01-2019g/korrektirovki-stoimosti-zemli/1697-na-razreshennoe-ispolzovanie-zemelnogo-uchastka-korrektirovki-na-01-01-2019-goda" TargetMode="External"/><Relationship Id="rId2" Type="http://schemas.openxmlformats.org/officeDocument/2006/relationships/hyperlink" Target="https://rosreestr.ru/upload/to/respublika-bashkortostan/GZK/!&#1085;&#1072;&#1094;%20&#1076;&#1086;&#1082;&#1083;&#1072;&#1076;%20&#1079;&#1072;%202018.pdf" TargetMode="External"/><Relationship Id="rId1" Type="http://schemas.openxmlformats.org/officeDocument/2006/relationships/hyperlink" Target="https://forest.bashkortostan.ru/documents/active/175649/" TargetMode="External"/><Relationship Id="rId4" Type="http://schemas.openxmlformats.org/officeDocument/2006/relationships/hyperlink" Target="https://statrielt.ru/statistika-rynka/statistika-na-01-01-2019g/korrektirovki-stoimosti-zemli/1696-sroki-likvidnosti-sroki-prodazhi-ekspozitsii-tipichnye-dlya-rynka-zemelnykh-uchastkov-i-massivov-na-01-01-2019-god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plotArea>
      <c:layout/>
      <c:lineChart>
        <c:grouping val="standard"/>
        <c:varyColors val="0"/>
        <c:ser>
          <c:idx val="0"/>
          <c:order val="0"/>
          <c:tx>
            <c:v>Средневзвешенная ставка по выданным с начала года кредитам, %</c:v>
          </c:tx>
          <c:spPr>
            <a:ln w="28575" cap="rnd">
              <a:solidFill>
                <a:srgbClr val="4BACC6"/>
              </a:solidFill>
              <a:prstDash val="solid"/>
              <a:round/>
            </a:ln>
          </c:spPr>
          <c:marker>
            <c:symbol val="circle"/>
            <c:size val="5"/>
          </c:marker>
          <c:cat>
            <c:numLit>
              <c:formatCode>General</c:formatCode>
              <c:ptCount val="5"/>
              <c:pt idx="0">
                <c:v>2014</c:v>
              </c:pt>
              <c:pt idx="1">
                <c:v>2015</c:v>
              </c:pt>
              <c:pt idx="2">
                <c:v>2016</c:v>
              </c:pt>
              <c:pt idx="3">
                <c:v>2017</c:v>
              </c:pt>
              <c:pt idx="4">
                <c:v>2018</c:v>
              </c:pt>
            </c:numLit>
          </c:cat>
          <c:val>
            <c:numLit>
              <c:formatCode>General</c:formatCode>
              <c:ptCount val="5"/>
              <c:pt idx="0">
                <c:v>12.56</c:v>
              </c:pt>
              <c:pt idx="1">
                <c:v>13.56</c:v>
              </c:pt>
              <c:pt idx="2">
                <c:v>12.69</c:v>
              </c:pt>
              <c:pt idx="3">
                <c:v>10.61</c:v>
              </c:pt>
              <c:pt idx="4">
                <c:v>9.5500000000000007</c:v>
              </c:pt>
            </c:numLit>
          </c:val>
          <c:smooth val="0"/>
          <c:extLst>
            <c:ext xmlns:c16="http://schemas.microsoft.com/office/drawing/2014/chart" uri="{C3380CC4-5D6E-409C-BE32-E72D297353CC}">
              <c16:uniqueId val="{00000000-3FEF-4251-BE61-9535B1607DC8}"/>
            </c:ext>
          </c:extLst>
        </c:ser>
        <c:dLbls>
          <c:showLegendKey val="0"/>
          <c:showVal val="0"/>
          <c:showCatName val="0"/>
          <c:showSerName val="0"/>
          <c:showPercent val="0"/>
          <c:showBubbleSize val="0"/>
        </c:dLbls>
        <c:marker val="1"/>
        <c:smooth val="0"/>
        <c:axId val="307889576"/>
        <c:axId val="307887936"/>
      </c:lineChart>
      <c:valAx>
        <c:axId val="307887936"/>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07889576"/>
        <c:crosses val="autoZero"/>
        <c:crossBetween val="between"/>
      </c:valAx>
      <c:catAx>
        <c:axId val="30788957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07887936"/>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ru-RU" sz="1400" b="0" i="0" u="none" strike="noStrike" kern="1200" cap="none" spc="0" baseline="0">
                <a:solidFill>
                  <a:srgbClr val="595959"/>
                </a:solidFill>
                <a:uFillTx/>
                <a:latin typeface="Calibri"/>
              </a:rPr>
              <a:t>Диаграмма 4.1.1. Соотношение значений минимальных, максимальных и средних УПКС в разрезе сегментов в МР Уфимский район РБ, руб./кв.м.</a:t>
            </a:r>
          </a:p>
        </c:rich>
      </c:tx>
      <c:overlay val="0"/>
      <c:spPr>
        <a:noFill/>
        <a:ln>
          <a:noFill/>
        </a:ln>
      </c:spPr>
    </c:title>
    <c:autoTitleDeleted val="0"/>
    <c:plotArea>
      <c:layout/>
      <c:barChart>
        <c:barDir val="bar"/>
        <c:grouping val="clustered"/>
        <c:varyColors val="0"/>
        <c:ser>
          <c:idx val="0"/>
          <c:order val="0"/>
          <c:tx>
            <c:v>Мин</c:v>
          </c:tx>
          <c:spPr>
            <a:solidFill>
              <a:srgbClr val="4F81BD"/>
            </a:solidFill>
            <a:ln>
              <a:noFill/>
            </a:ln>
          </c:spPr>
          <c:invertIfNegative val="0"/>
          <c:cat>
            <c:strLit>
              <c:ptCount val="14"/>
              <c:pt idx="0">
                <c:v>01. СЕГМЕНТ "Сельскохозяйственное использование"</c:v>
              </c:pt>
              <c:pt idx="1">
                <c:v>02. СЕГМЕНТ "Жилая застройка (среднеэтажная и многоэтажная)"</c:v>
              </c:pt>
              <c:pt idx="2">
                <c:v>03. СЕГМЕНТ "Общественное использование"</c:v>
              </c:pt>
              <c:pt idx="3">
                <c:v>04. СЕГМЕНТ "Предпринимательство"</c:v>
              </c:pt>
              <c:pt idx="4">
                <c:v>05. СЕГМЕНТ "Отдых (рекреация)"</c:v>
              </c:pt>
              <c:pt idx="5">
                <c:v>06. СЕГМЕНТ "Производственная деятельность"</c:v>
              </c:pt>
              <c:pt idx="6">
                <c:v>07. СЕГМЕНТ "Транспорт"</c:v>
              </c:pt>
              <c:pt idx="7">
                <c:v>08. СЕГМЕНТ "Обеспечение обороны и безопасности"</c:v>
              </c:pt>
              <c:pt idx="8">
                <c:v>09. СЕГМЕНТ "Охраняемые природные территории и благоустройство"</c:v>
              </c:pt>
              <c:pt idx="9">
                <c:v>10. СЕГМЕНТ "Использование лесов"</c:v>
              </c:pt>
              <c:pt idx="10">
                <c:v>11. СЕГМЕНТ "Водные объекты"</c:v>
              </c:pt>
              <c:pt idx="11">
                <c:v>12. СЕГМЕНТ "Специальное, ритуальное использование, запас"</c:v>
              </c:pt>
              <c:pt idx="12">
                <c:v>13. СЕГМЕНТ "Садоводческое, огородническое и дачное использование, малоэтажная жилая застройка"</c:v>
              </c:pt>
              <c:pt idx="13">
                <c:v>14. СЕГМЕНТ "Иное использование"</c:v>
              </c:pt>
            </c:strLit>
          </c:cat>
          <c:val>
            <c:numLit>
              <c:formatCode>General</c:formatCode>
              <c:ptCount val="14"/>
              <c:pt idx="0">
                <c:v>4.29</c:v>
              </c:pt>
              <c:pt idx="1">
                <c:v>541.05999999999995</c:v>
              </c:pt>
              <c:pt idx="2">
                <c:v>560.48</c:v>
              </c:pt>
              <c:pt idx="3">
                <c:v>960.39</c:v>
              </c:pt>
              <c:pt idx="4">
                <c:v>693.18</c:v>
              </c:pt>
              <c:pt idx="5">
                <c:v>4.16</c:v>
              </c:pt>
              <c:pt idx="6">
                <c:v>1039.6500000000001</c:v>
              </c:pt>
              <c:pt idx="7">
                <c:v>63.95</c:v>
              </c:pt>
              <c:pt idx="8">
                <c:v>1.07</c:v>
              </c:pt>
              <c:pt idx="9">
                <c:v>13.48</c:v>
              </c:pt>
              <c:pt idx="10">
                <c:v>0.48</c:v>
              </c:pt>
              <c:pt idx="11">
                <c:v>1.7</c:v>
              </c:pt>
              <c:pt idx="12">
                <c:v>81.69</c:v>
              </c:pt>
              <c:pt idx="13">
                <c:v>366.93</c:v>
              </c:pt>
            </c:numLit>
          </c:val>
          <c:extLst>
            <c:ext xmlns:c16="http://schemas.microsoft.com/office/drawing/2014/chart" uri="{C3380CC4-5D6E-409C-BE32-E72D297353CC}">
              <c16:uniqueId val="{00000000-6D5E-41B4-BAB7-957AD9E15E38}"/>
            </c:ext>
          </c:extLst>
        </c:ser>
        <c:ser>
          <c:idx val="1"/>
          <c:order val="1"/>
          <c:tx>
            <c:v>Среднее</c:v>
          </c:tx>
          <c:spPr>
            <a:solidFill>
              <a:srgbClr val="C0504D"/>
            </a:solidFill>
            <a:ln>
              <a:noFill/>
            </a:ln>
          </c:spPr>
          <c:invertIfNegative val="0"/>
          <c:cat>
            <c:strLit>
              <c:ptCount val="14"/>
              <c:pt idx="0">
                <c:v>01. СЕГМЕНТ "Сельскохозяйственное использование"</c:v>
              </c:pt>
              <c:pt idx="1">
                <c:v>02. СЕГМЕНТ "Жилая застройка (среднеэтажная и многоэтажная)"</c:v>
              </c:pt>
              <c:pt idx="2">
                <c:v>03. СЕГМЕНТ "Общественное использование"</c:v>
              </c:pt>
              <c:pt idx="3">
                <c:v>04. СЕГМЕНТ "Предпринимательство"</c:v>
              </c:pt>
              <c:pt idx="4">
                <c:v>05. СЕГМЕНТ "Отдых (рекреация)"</c:v>
              </c:pt>
              <c:pt idx="5">
                <c:v>06. СЕГМЕНТ "Производственная деятельность"</c:v>
              </c:pt>
              <c:pt idx="6">
                <c:v>07. СЕГМЕНТ "Транспорт"</c:v>
              </c:pt>
              <c:pt idx="7">
                <c:v>08. СЕГМЕНТ "Обеспечение обороны и безопасности"</c:v>
              </c:pt>
              <c:pt idx="8">
                <c:v>09. СЕГМЕНТ "Охраняемые природные территории и благоустройство"</c:v>
              </c:pt>
              <c:pt idx="9">
                <c:v>10. СЕГМЕНТ "Использование лесов"</c:v>
              </c:pt>
              <c:pt idx="10">
                <c:v>11. СЕГМЕНТ "Водные объекты"</c:v>
              </c:pt>
              <c:pt idx="11">
                <c:v>12. СЕГМЕНТ "Специальное, ритуальное использование, запас"</c:v>
              </c:pt>
              <c:pt idx="12">
                <c:v>13. СЕГМЕНТ "Садоводческое, огородническое и дачное использование, малоэтажная жилая застройка"</c:v>
              </c:pt>
              <c:pt idx="13">
                <c:v>14. СЕГМЕНТ "Иное использование"</c:v>
              </c:pt>
            </c:strLit>
          </c:cat>
          <c:val>
            <c:numLit>
              <c:formatCode>General</c:formatCode>
              <c:ptCount val="14"/>
              <c:pt idx="0">
                <c:v>5.1100000000000003</c:v>
              </c:pt>
              <c:pt idx="1">
                <c:v>1647.13</c:v>
              </c:pt>
              <c:pt idx="2">
                <c:v>1020.34</c:v>
              </c:pt>
              <c:pt idx="3">
                <c:v>2049.67</c:v>
              </c:pt>
              <c:pt idx="4">
                <c:v>1241.6300000000001</c:v>
              </c:pt>
              <c:pt idx="5">
                <c:v>489.39</c:v>
              </c:pt>
              <c:pt idx="6">
                <c:v>2180.2600000000002</c:v>
              </c:pt>
              <c:pt idx="7">
                <c:v>63.95</c:v>
              </c:pt>
              <c:pt idx="8">
                <c:v>2.82</c:v>
              </c:pt>
              <c:pt idx="9">
                <c:v>13.49</c:v>
              </c:pt>
              <c:pt idx="10">
                <c:v>0.79</c:v>
              </c:pt>
              <c:pt idx="11">
                <c:v>4.93</c:v>
              </c:pt>
              <c:pt idx="12">
                <c:v>540.35</c:v>
              </c:pt>
              <c:pt idx="13">
                <c:v>366.93</c:v>
              </c:pt>
            </c:numLit>
          </c:val>
          <c:extLst>
            <c:ext xmlns:c16="http://schemas.microsoft.com/office/drawing/2014/chart" uri="{C3380CC4-5D6E-409C-BE32-E72D297353CC}">
              <c16:uniqueId val="{00000001-6D5E-41B4-BAB7-957AD9E15E38}"/>
            </c:ext>
          </c:extLst>
        </c:ser>
        <c:ser>
          <c:idx val="2"/>
          <c:order val="2"/>
          <c:tx>
            <c:v>Макс</c:v>
          </c:tx>
          <c:spPr>
            <a:solidFill>
              <a:srgbClr val="9BBB59"/>
            </a:solidFill>
            <a:ln>
              <a:noFill/>
            </a:ln>
          </c:spPr>
          <c:invertIfNegative val="0"/>
          <c:cat>
            <c:strLit>
              <c:ptCount val="14"/>
              <c:pt idx="0">
                <c:v>01. СЕГМЕНТ "Сельскохозяйственное использование"</c:v>
              </c:pt>
              <c:pt idx="1">
                <c:v>02. СЕГМЕНТ "Жилая застройка (среднеэтажная и многоэтажная)"</c:v>
              </c:pt>
              <c:pt idx="2">
                <c:v>03. СЕГМЕНТ "Общественное использование"</c:v>
              </c:pt>
              <c:pt idx="3">
                <c:v>04. СЕГМЕНТ "Предпринимательство"</c:v>
              </c:pt>
              <c:pt idx="4">
                <c:v>05. СЕГМЕНТ "Отдых (рекреация)"</c:v>
              </c:pt>
              <c:pt idx="5">
                <c:v>06. СЕГМЕНТ "Производственная деятельность"</c:v>
              </c:pt>
              <c:pt idx="6">
                <c:v>07. СЕГМЕНТ "Транспорт"</c:v>
              </c:pt>
              <c:pt idx="7">
                <c:v>08. СЕГМЕНТ "Обеспечение обороны и безопасности"</c:v>
              </c:pt>
              <c:pt idx="8">
                <c:v>09. СЕГМЕНТ "Охраняемые природные территории и благоустройство"</c:v>
              </c:pt>
              <c:pt idx="9">
                <c:v>10. СЕГМЕНТ "Использование лесов"</c:v>
              </c:pt>
              <c:pt idx="10">
                <c:v>11. СЕГМЕНТ "Водные объекты"</c:v>
              </c:pt>
              <c:pt idx="11">
                <c:v>12. СЕГМЕНТ "Специальное, ритуальное использование, запас"</c:v>
              </c:pt>
              <c:pt idx="12">
                <c:v>13. СЕГМЕНТ "Садоводческое, огородническое и дачное использование, малоэтажная жилая застройка"</c:v>
              </c:pt>
              <c:pt idx="13">
                <c:v>14. СЕГМЕНТ "Иное использование"</c:v>
              </c:pt>
            </c:strLit>
          </c:cat>
          <c:val>
            <c:numLit>
              <c:formatCode>General</c:formatCode>
              <c:ptCount val="14"/>
              <c:pt idx="0">
                <c:v>7.2</c:v>
              </c:pt>
              <c:pt idx="1">
                <c:v>2029.2</c:v>
              </c:pt>
              <c:pt idx="2">
                <c:v>2489.7600000000002</c:v>
              </c:pt>
              <c:pt idx="3">
                <c:v>2350.2800000000002</c:v>
              </c:pt>
              <c:pt idx="4">
                <c:v>1696.6</c:v>
              </c:pt>
              <c:pt idx="5">
                <c:v>8417.4699999999993</c:v>
              </c:pt>
              <c:pt idx="6">
                <c:v>3082.66</c:v>
              </c:pt>
              <c:pt idx="7">
                <c:v>63.95</c:v>
              </c:pt>
              <c:pt idx="8">
                <c:v>116.75</c:v>
              </c:pt>
              <c:pt idx="9">
                <c:v>13.56</c:v>
              </c:pt>
              <c:pt idx="10">
                <c:v>56.39</c:v>
              </c:pt>
              <c:pt idx="11">
                <c:v>234.72</c:v>
              </c:pt>
              <c:pt idx="12">
                <c:v>994.31</c:v>
              </c:pt>
              <c:pt idx="13">
                <c:v>366.93</c:v>
              </c:pt>
            </c:numLit>
          </c:val>
          <c:extLst>
            <c:ext xmlns:c16="http://schemas.microsoft.com/office/drawing/2014/chart" uri="{C3380CC4-5D6E-409C-BE32-E72D297353CC}">
              <c16:uniqueId val="{00000002-6D5E-41B4-BAB7-957AD9E15E38}"/>
            </c:ext>
          </c:extLst>
        </c:ser>
        <c:dLbls>
          <c:showLegendKey val="0"/>
          <c:showVal val="0"/>
          <c:showCatName val="0"/>
          <c:showSerName val="0"/>
          <c:showPercent val="0"/>
          <c:showBubbleSize val="0"/>
        </c:dLbls>
        <c:gapWidth val="182"/>
        <c:axId val="352475512"/>
        <c:axId val="352476824"/>
      </c:barChart>
      <c:valAx>
        <c:axId val="352476824"/>
        <c:scaling>
          <c:orientation val="minMax"/>
        </c:scaling>
        <c:delete val="0"/>
        <c:axPos val="b"/>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475512"/>
        <c:crosses val="autoZero"/>
        <c:crossBetween val="between"/>
      </c:valAx>
      <c:catAx>
        <c:axId val="352475512"/>
        <c:scaling>
          <c:orientation val="minMax"/>
        </c:scaling>
        <c:delete val="0"/>
        <c:axPos val="l"/>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476824"/>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tx>
            <c:v>минимальный тариф</c:v>
          </c:tx>
          <c:spPr>
            <a:solidFill>
              <a:srgbClr val="F79646"/>
            </a:solidFill>
            <a:ln>
              <a:noFill/>
            </a:ln>
          </c:spPr>
          <c:invertIfNegative val="0"/>
          <c:cat>
            <c:strLit>
              <c:ptCount val="38"/>
              <c:pt idx="0">
                <c:v>Абзелиловский район</c:v>
              </c:pt>
              <c:pt idx="1">
                <c:v>Архангельский район</c:v>
              </c:pt>
              <c:pt idx="2">
                <c:v>Белебеевский район</c:v>
              </c:pt>
              <c:pt idx="3">
                <c:v>Белорецкий район</c:v>
              </c:pt>
              <c:pt idx="4">
                <c:v>Бирский район</c:v>
              </c:pt>
              <c:pt idx="5">
                <c:v>Благоварский район</c:v>
              </c:pt>
              <c:pt idx="6">
                <c:v>Благовещенский район</c:v>
              </c:pt>
              <c:pt idx="7">
                <c:v>Буздякский район</c:v>
              </c:pt>
              <c:pt idx="8">
                <c:v>Гафурийский район</c:v>
              </c:pt>
              <c:pt idx="9">
                <c:v>Давлекановский район</c:v>
              </c:pt>
              <c:pt idx="10">
                <c:v>Дуванский район</c:v>
              </c:pt>
              <c:pt idx="11">
                <c:v>Дюртюлинский район</c:v>
              </c:pt>
              <c:pt idx="12">
                <c:v>Ишимбайский район</c:v>
              </c:pt>
              <c:pt idx="13">
                <c:v>Калтасинский район</c:v>
              </c:pt>
              <c:pt idx="14">
                <c:v>Кармаскалинский район</c:v>
              </c:pt>
              <c:pt idx="15">
                <c:v>Краснокамский район</c:v>
              </c:pt>
              <c:pt idx="16">
                <c:v>Кугарчинский район</c:v>
              </c:pt>
              <c:pt idx="17">
                <c:v>Кушнаренковский район</c:v>
              </c:pt>
              <c:pt idx="18">
                <c:v>Мелеузовский район</c:v>
              </c:pt>
              <c:pt idx="19">
                <c:v>Нуримановский район</c:v>
              </c:pt>
              <c:pt idx="20">
                <c:v>Салаватский район</c:v>
              </c:pt>
              <c:pt idx="21">
                <c:v>Стерлитамакский район</c:v>
              </c:pt>
              <c:pt idx="22">
                <c:v>Татышлинский район</c:v>
              </c:pt>
              <c:pt idx="23">
                <c:v>Туймазинский район</c:v>
              </c:pt>
              <c:pt idx="24">
                <c:v>Уфимский район</c:v>
              </c:pt>
              <c:pt idx="25">
                <c:v>Учалинский район</c:v>
              </c:pt>
              <c:pt idx="26">
                <c:v>Федоровский район</c:v>
              </c:pt>
              <c:pt idx="27">
                <c:v>Хайбуллинский район</c:v>
              </c:pt>
              <c:pt idx="28">
                <c:v>Чекмагушевский район</c:v>
              </c:pt>
              <c:pt idx="29">
                <c:v>Чишминский район</c:v>
              </c:pt>
              <c:pt idx="30">
                <c:v>Шаранский район</c:v>
              </c:pt>
              <c:pt idx="31">
                <c:v>Янаульский район</c:v>
              </c:pt>
              <c:pt idx="32">
                <c:v>г. Кумертау</c:v>
              </c:pt>
              <c:pt idx="33">
                <c:v>г. Нефтекамск</c:v>
              </c:pt>
              <c:pt idx="34">
                <c:v>г. Октябрьский</c:v>
              </c:pt>
              <c:pt idx="35">
                <c:v>г. Салават</c:v>
              </c:pt>
              <c:pt idx="36">
                <c:v>г. Сибай</c:v>
              </c:pt>
              <c:pt idx="37">
                <c:v>г. Уфа</c:v>
              </c:pt>
            </c:strLit>
          </c:cat>
          <c:val>
            <c:numLit>
              <c:formatCode>General</c:formatCode>
              <c:ptCount val="38"/>
              <c:pt idx="0">
                <c:v>24.99</c:v>
              </c:pt>
              <c:pt idx="1">
                <c:v>44.65</c:v>
              </c:pt>
              <c:pt idx="2">
                <c:v>8.18</c:v>
              </c:pt>
              <c:pt idx="3">
                <c:v>13.05</c:v>
              </c:pt>
              <c:pt idx="4">
                <c:v>29.55</c:v>
              </c:pt>
              <c:pt idx="5">
                <c:v>30.66</c:v>
              </c:pt>
              <c:pt idx="6">
                <c:v>8.2200000000000006</c:v>
              </c:pt>
              <c:pt idx="7">
                <c:v>50.29</c:v>
              </c:pt>
              <c:pt idx="8">
                <c:v>22.87</c:v>
              </c:pt>
              <c:pt idx="9">
                <c:v>39.19</c:v>
              </c:pt>
              <c:pt idx="10">
                <c:v>28.93</c:v>
              </c:pt>
              <c:pt idx="11">
                <c:v>31.22</c:v>
              </c:pt>
              <c:pt idx="12">
                <c:v>26.79</c:v>
              </c:pt>
              <c:pt idx="13">
                <c:v>29.65</c:v>
              </c:pt>
              <c:pt idx="14">
                <c:v>42.27</c:v>
              </c:pt>
              <c:pt idx="15">
                <c:v>30.03</c:v>
              </c:pt>
              <c:pt idx="16">
                <c:v>56.54</c:v>
              </c:pt>
              <c:pt idx="17">
                <c:v>49.78</c:v>
              </c:pt>
              <c:pt idx="18">
                <c:v>10.62</c:v>
              </c:pt>
              <c:pt idx="19">
                <c:v>61.48</c:v>
              </c:pt>
              <c:pt idx="20">
                <c:v>18.97</c:v>
              </c:pt>
              <c:pt idx="21">
                <c:v>19.43</c:v>
              </c:pt>
              <c:pt idx="22">
                <c:v>67.040000000000006</c:v>
              </c:pt>
              <c:pt idx="23">
                <c:v>9.58</c:v>
              </c:pt>
              <c:pt idx="24">
                <c:v>12.16</c:v>
              </c:pt>
              <c:pt idx="25">
                <c:v>16.18</c:v>
              </c:pt>
              <c:pt idx="26">
                <c:v>54.87</c:v>
              </c:pt>
              <c:pt idx="27">
                <c:v>19.8</c:v>
              </c:pt>
              <c:pt idx="28">
                <c:v>24.31</c:v>
              </c:pt>
              <c:pt idx="29">
                <c:v>26.07</c:v>
              </c:pt>
              <c:pt idx="30">
                <c:v>37.049999999999997</c:v>
              </c:pt>
              <c:pt idx="31">
                <c:v>38.5</c:v>
              </c:pt>
              <c:pt idx="32">
                <c:v>11.97</c:v>
              </c:pt>
              <c:pt idx="33">
                <c:v>9.4700000000000006</c:v>
              </c:pt>
              <c:pt idx="34">
                <c:v>14.64</c:v>
              </c:pt>
              <c:pt idx="35">
                <c:v>6.96</c:v>
              </c:pt>
              <c:pt idx="36">
                <c:v>21.96</c:v>
              </c:pt>
              <c:pt idx="37">
                <c:v>11.38</c:v>
              </c:pt>
            </c:numLit>
          </c:val>
          <c:extLst>
            <c:ext xmlns:c16="http://schemas.microsoft.com/office/drawing/2014/chart" uri="{C3380CC4-5D6E-409C-BE32-E72D297353CC}">
              <c16:uniqueId val="{00000000-1FFB-4F00-9DF9-045F5C85164E}"/>
            </c:ext>
          </c:extLst>
        </c:ser>
        <c:ser>
          <c:idx val="1"/>
          <c:order val="1"/>
          <c:tx>
            <c:v>максимальный тариф</c:v>
          </c:tx>
          <c:spPr>
            <a:solidFill>
              <a:srgbClr val="4BACC6"/>
            </a:solidFill>
            <a:ln>
              <a:noFill/>
            </a:ln>
          </c:spPr>
          <c:invertIfNegative val="0"/>
          <c:cat>
            <c:strLit>
              <c:ptCount val="38"/>
              <c:pt idx="0">
                <c:v>Абзелиловский район</c:v>
              </c:pt>
              <c:pt idx="1">
                <c:v>Архангельский район</c:v>
              </c:pt>
              <c:pt idx="2">
                <c:v>Белебеевский район</c:v>
              </c:pt>
              <c:pt idx="3">
                <c:v>Белорецкий район</c:v>
              </c:pt>
              <c:pt idx="4">
                <c:v>Бирский район</c:v>
              </c:pt>
              <c:pt idx="5">
                <c:v>Благоварский район</c:v>
              </c:pt>
              <c:pt idx="6">
                <c:v>Благовещенский район</c:v>
              </c:pt>
              <c:pt idx="7">
                <c:v>Буздякский район</c:v>
              </c:pt>
              <c:pt idx="8">
                <c:v>Гафурийский район</c:v>
              </c:pt>
              <c:pt idx="9">
                <c:v>Давлекановский район</c:v>
              </c:pt>
              <c:pt idx="10">
                <c:v>Дуванский район</c:v>
              </c:pt>
              <c:pt idx="11">
                <c:v>Дюртюлинский район</c:v>
              </c:pt>
              <c:pt idx="12">
                <c:v>Ишимбайский район</c:v>
              </c:pt>
              <c:pt idx="13">
                <c:v>Калтасинский район</c:v>
              </c:pt>
              <c:pt idx="14">
                <c:v>Кармаскалинский район</c:v>
              </c:pt>
              <c:pt idx="15">
                <c:v>Краснокамский район</c:v>
              </c:pt>
              <c:pt idx="16">
                <c:v>Кугарчинский район</c:v>
              </c:pt>
              <c:pt idx="17">
                <c:v>Кушнаренковский район</c:v>
              </c:pt>
              <c:pt idx="18">
                <c:v>Мелеузовский район</c:v>
              </c:pt>
              <c:pt idx="19">
                <c:v>Нуримановский район</c:v>
              </c:pt>
              <c:pt idx="20">
                <c:v>Салаватский район</c:v>
              </c:pt>
              <c:pt idx="21">
                <c:v>Стерлитамакский район</c:v>
              </c:pt>
              <c:pt idx="22">
                <c:v>Татышлинский район</c:v>
              </c:pt>
              <c:pt idx="23">
                <c:v>Туймазинский район</c:v>
              </c:pt>
              <c:pt idx="24">
                <c:v>Уфимский район</c:v>
              </c:pt>
              <c:pt idx="25">
                <c:v>Учалинский район</c:v>
              </c:pt>
              <c:pt idx="26">
                <c:v>Федоровский район</c:v>
              </c:pt>
              <c:pt idx="27">
                <c:v>Хайбуллинский район</c:v>
              </c:pt>
              <c:pt idx="28">
                <c:v>Чекмагушевский район</c:v>
              </c:pt>
              <c:pt idx="29">
                <c:v>Чишминский район</c:v>
              </c:pt>
              <c:pt idx="30">
                <c:v>Шаранский район</c:v>
              </c:pt>
              <c:pt idx="31">
                <c:v>Янаульский район</c:v>
              </c:pt>
              <c:pt idx="32">
                <c:v>г. Кумертау</c:v>
              </c:pt>
              <c:pt idx="33">
                <c:v>г. Нефтекамск</c:v>
              </c:pt>
              <c:pt idx="34">
                <c:v>г. Октябрьский</c:v>
              </c:pt>
              <c:pt idx="35">
                <c:v>г. Салават</c:v>
              </c:pt>
              <c:pt idx="36">
                <c:v>г. Сибай</c:v>
              </c:pt>
              <c:pt idx="37">
                <c:v>г. Уфа</c:v>
              </c:pt>
            </c:strLit>
          </c:cat>
          <c:val>
            <c:numLit>
              <c:formatCode>General</c:formatCode>
              <c:ptCount val="38"/>
              <c:pt idx="0">
                <c:v>45.03</c:v>
              </c:pt>
              <c:pt idx="1">
                <c:v>57.35</c:v>
              </c:pt>
              <c:pt idx="2">
                <c:v>17.02</c:v>
              </c:pt>
              <c:pt idx="3">
                <c:v>65.67</c:v>
              </c:pt>
              <c:pt idx="4">
                <c:v>38.130000000000003</c:v>
              </c:pt>
              <c:pt idx="5">
                <c:v>55.33</c:v>
              </c:pt>
              <c:pt idx="6">
                <c:v>8.64</c:v>
              </c:pt>
              <c:pt idx="7">
                <c:v>50.71</c:v>
              </c:pt>
              <c:pt idx="8">
                <c:v>23.77</c:v>
              </c:pt>
              <c:pt idx="9">
                <c:v>40.770000000000003</c:v>
              </c:pt>
              <c:pt idx="10">
                <c:v>30.07</c:v>
              </c:pt>
              <c:pt idx="11">
                <c:v>60.12</c:v>
              </c:pt>
              <c:pt idx="12">
                <c:v>32.14</c:v>
              </c:pt>
              <c:pt idx="13">
                <c:v>44.45</c:v>
              </c:pt>
              <c:pt idx="14">
                <c:v>43.96</c:v>
              </c:pt>
              <c:pt idx="15">
                <c:v>32.549999999999997</c:v>
              </c:pt>
              <c:pt idx="16">
                <c:v>60.01</c:v>
              </c:pt>
              <c:pt idx="17">
                <c:v>51.77</c:v>
              </c:pt>
              <c:pt idx="18">
                <c:v>11.68</c:v>
              </c:pt>
              <c:pt idx="19">
                <c:v>65.069999999999993</c:v>
              </c:pt>
              <c:pt idx="20">
                <c:v>34.32</c:v>
              </c:pt>
              <c:pt idx="21">
                <c:v>28.32</c:v>
              </c:pt>
              <c:pt idx="22">
                <c:v>69.430000000000007</c:v>
              </c:pt>
              <c:pt idx="23">
                <c:v>19.73</c:v>
              </c:pt>
              <c:pt idx="24">
                <c:v>56.02</c:v>
              </c:pt>
              <c:pt idx="25">
                <c:v>17.100000000000001</c:v>
              </c:pt>
              <c:pt idx="26">
                <c:v>55.35</c:v>
              </c:pt>
              <c:pt idx="27">
                <c:v>29.94</c:v>
              </c:pt>
              <c:pt idx="28">
                <c:v>39.19</c:v>
              </c:pt>
              <c:pt idx="29">
                <c:v>27.02</c:v>
              </c:pt>
              <c:pt idx="30">
                <c:v>38.53</c:v>
              </c:pt>
              <c:pt idx="31">
                <c:v>40.04</c:v>
              </c:pt>
              <c:pt idx="32">
                <c:v>15.1</c:v>
              </c:pt>
              <c:pt idx="33">
                <c:v>32.36</c:v>
              </c:pt>
              <c:pt idx="34">
                <c:v>15.23</c:v>
              </c:pt>
              <c:pt idx="35">
                <c:v>23.41</c:v>
              </c:pt>
              <c:pt idx="36">
                <c:v>21.96</c:v>
              </c:pt>
              <c:pt idx="37">
                <c:v>20.82</c:v>
              </c:pt>
            </c:numLit>
          </c:val>
          <c:extLst>
            <c:ext xmlns:c16="http://schemas.microsoft.com/office/drawing/2014/chart" uri="{C3380CC4-5D6E-409C-BE32-E72D297353CC}">
              <c16:uniqueId val="{00000001-1FFB-4F00-9DF9-045F5C85164E}"/>
            </c:ext>
          </c:extLst>
        </c:ser>
        <c:dLbls>
          <c:showLegendKey val="0"/>
          <c:showVal val="0"/>
          <c:showCatName val="0"/>
          <c:showSerName val="0"/>
          <c:showPercent val="0"/>
          <c:showBubbleSize val="0"/>
        </c:dLbls>
        <c:gapWidth val="150"/>
        <c:shape val="box"/>
        <c:axId val="307889248"/>
        <c:axId val="307894168"/>
        <c:axId val="0"/>
      </c:bar3DChart>
      <c:valAx>
        <c:axId val="307894168"/>
        <c:scaling>
          <c:orientation val="minMax"/>
        </c:scaling>
        <c:delete val="0"/>
        <c:axPos val="l"/>
        <c:majorGridlines>
          <c:spPr>
            <a:ln w="9528" cap="flat">
              <a:solidFill>
                <a:srgbClr val="D9D9D9"/>
              </a:solidFill>
              <a:prstDash val="solid"/>
              <a:round/>
            </a:ln>
          </c:spPr>
        </c:majorGridlines>
        <c:numFmt formatCode="0.0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07889248"/>
        <c:crosses val="autoZero"/>
        <c:crossBetween val="between"/>
      </c:valAx>
      <c:catAx>
        <c:axId val="307889248"/>
        <c:scaling>
          <c:orientation val="minMax"/>
        </c:scaling>
        <c:delete val="0"/>
        <c:axPos val="b"/>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0789416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tx>
            <c:v>минимальный тариф</c:v>
          </c:tx>
          <c:spPr>
            <a:solidFill>
              <a:srgbClr val="C0504D"/>
            </a:solidFill>
            <a:ln>
              <a:noFill/>
            </a:ln>
          </c:spPr>
          <c:invertIfNegative val="0"/>
          <c:cat>
            <c:strLit>
              <c:ptCount val="38"/>
              <c:pt idx="0">
                <c:v>Абзелиловский район</c:v>
              </c:pt>
              <c:pt idx="1">
                <c:v>Архангельский район</c:v>
              </c:pt>
              <c:pt idx="2">
                <c:v>Белебеевский район</c:v>
              </c:pt>
              <c:pt idx="3">
                <c:v>Белокатайский район</c:v>
              </c:pt>
              <c:pt idx="4">
                <c:v>Белорецкий район</c:v>
              </c:pt>
              <c:pt idx="5">
                <c:v>Бирский район</c:v>
              </c:pt>
              <c:pt idx="6">
                <c:v>Благоварский район</c:v>
              </c:pt>
              <c:pt idx="7">
                <c:v>Благовещенский район</c:v>
              </c:pt>
              <c:pt idx="8">
                <c:v>Дуванский район</c:v>
              </c:pt>
              <c:pt idx="9">
                <c:v>Ермекеевский район</c:v>
              </c:pt>
              <c:pt idx="10">
                <c:v>Иглинский район</c:v>
              </c:pt>
              <c:pt idx="11">
                <c:v>Илишевский район</c:v>
              </c:pt>
              <c:pt idx="12">
                <c:v>Калтасинский район</c:v>
              </c:pt>
              <c:pt idx="13">
                <c:v>Караидельский район</c:v>
              </c:pt>
              <c:pt idx="14">
                <c:v>Кармаскалинский район</c:v>
              </c:pt>
              <c:pt idx="15">
                <c:v>Краснокамский район</c:v>
              </c:pt>
              <c:pt idx="16">
                <c:v>Мелеузовский район</c:v>
              </c:pt>
              <c:pt idx="17">
                <c:v>Нуримановский район</c:v>
              </c:pt>
              <c:pt idx="18">
                <c:v>Салаватский район</c:v>
              </c:pt>
              <c:pt idx="19">
                <c:v>Стерлибашевский район</c:v>
              </c:pt>
              <c:pt idx="20">
                <c:v>Стерлитамакский район</c:v>
              </c:pt>
              <c:pt idx="21">
                <c:v>Татышлинский район</c:v>
              </c:pt>
              <c:pt idx="22">
                <c:v>Туймазинский район</c:v>
              </c:pt>
              <c:pt idx="23">
                <c:v>Уфимский район</c:v>
              </c:pt>
              <c:pt idx="24">
                <c:v>Учалинский район</c:v>
              </c:pt>
              <c:pt idx="25">
                <c:v>Федоровский район</c:v>
              </c:pt>
              <c:pt idx="26">
                <c:v>Чекмагушевский район</c:v>
              </c:pt>
              <c:pt idx="27">
                <c:v>Чишминский район</c:v>
              </c:pt>
              <c:pt idx="28">
                <c:v>Шаранский район</c:v>
              </c:pt>
              <c:pt idx="29">
                <c:v>Янаульский район</c:v>
              </c:pt>
              <c:pt idx="30">
                <c:v>г. Агидель</c:v>
              </c:pt>
              <c:pt idx="31">
                <c:v>г. Кумертау</c:v>
              </c:pt>
              <c:pt idx="32">
                <c:v>г. Нефтекамск</c:v>
              </c:pt>
              <c:pt idx="33">
                <c:v>г. Октябрьский</c:v>
              </c:pt>
              <c:pt idx="34">
                <c:v>г. Салават</c:v>
              </c:pt>
              <c:pt idx="35">
                <c:v>г. Сибай</c:v>
              </c:pt>
              <c:pt idx="36">
                <c:v>г. Стерлитамак</c:v>
              </c:pt>
              <c:pt idx="37">
                <c:v>г. Уфа</c:v>
              </c:pt>
            </c:strLit>
          </c:cat>
          <c:val>
            <c:numLit>
              <c:formatCode>General</c:formatCode>
              <c:ptCount val="38"/>
              <c:pt idx="0">
                <c:v>1433.52</c:v>
              </c:pt>
              <c:pt idx="1">
                <c:v>1662.62</c:v>
              </c:pt>
              <c:pt idx="2">
                <c:v>803.81</c:v>
              </c:pt>
              <c:pt idx="3">
                <c:v>1312.98</c:v>
              </c:pt>
              <c:pt idx="4">
                <c:v>228.19</c:v>
              </c:pt>
              <c:pt idx="5">
                <c:v>1816.34</c:v>
              </c:pt>
              <c:pt idx="6">
                <c:v>1271.32</c:v>
              </c:pt>
              <c:pt idx="7">
                <c:v>1978.32</c:v>
              </c:pt>
              <c:pt idx="8">
                <c:v>1443.97</c:v>
              </c:pt>
              <c:pt idx="9">
                <c:v>1504.81</c:v>
              </c:pt>
              <c:pt idx="10">
                <c:v>1855.14</c:v>
              </c:pt>
              <c:pt idx="11">
                <c:v>1978.32</c:v>
              </c:pt>
              <c:pt idx="12">
                <c:v>1512.98</c:v>
              </c:pt>
              <c:pt idx="13">
                <c:v>1490.29</c:v>
              </c:pt>
              <c:pt idx="14">
                <c:v>132.86000000000001</c:v>
              </c:pt>
              <c:pt idx="15">
                <c:v>1729.4</c:v>
              </c:pt>
              <c:pt idx="16">
                <c:v>1149.92</c:v>
              </c:pt>
              <c:pt idx="17">
                <c:v>1567.22</c:v>
              </c:pt>
              <c:pt idx="18">
                <c:v>634.17999999999995</c:v>
              </c:pt>
              <c:pt idx="19">
                <c:v>1570.21</c:v>
              </c:pt>
              <c:pt idx="20">
                <c:v>105.14</c:v>
              </c:pt>
              <c:pt idx="21">
                <c:v>1435.79</c:v>
              </c:pt>
              <c:pt idx="22">
                <c:v>1707.52</c:v>
              </c:pt>
              <c:pt idx="23">
                <c:v>1388.32</c:v>
              </c:pt>
              <c:pt idx="24">
                <c:v>1473.88</c:v>
              </c:pt>
              <c:pt idx="25">
                <c:v>1753.31</c:v>
              </c:pt>
              <c:pt idx="26">
                <c:v>67.52</c:v>
              </c:pt>
              <c:pt idx="27">
                <c:v>1101.75</c:v>
              </c:pt>
              <c:pt idx="28">
                <c:v>1354.43</c:v>
              </c:pt>
              <c:pt idx="29">
                <c:v>1651.16</c:v>
              </c:pt>
              <c:pt idx="30">
                <c:v>1978.32</c:v>
              </c:pt>
              <c:pt idx="31">
                <c:v>1410.3</c:v>
              </c:pt>
              <c:pt idx="32">
                <c:v>1301.5899999999999</c:v>
              </c:pt>
              <c:pt idx="33">
                <c:v>1549.16</c:v>
              </c:pt>
              <c:pt idx="34">
                <c:v>1629.21</c:v>
              </c:pt>
              <c:pt idx="35">
                <c:v>1978.32</c:v>
              </c:pt>
              <c:pt idx="36">
                <c:v>1216.79</c:v>
              </c:pt>
              <c:pt idx="37">
                <c:v>1023.53</c:v>
              </c:pt>
            </c:numLit>
          </c:val>
          <c:extLst>
            <c:ext xmlns:c16="http://schemas.microsoft.com/office/drawing/2014/chart" uri="{C3380CC4-5D6E-409C-BE32-E72D297353CC}">
              <c16:uniqueId val="{00000000-1F48-42E1-9CE0-00AFDADFDC75}"/>
            </c:ext>
          </c:extLst>
        </c:ser>
        <c:ser>
          <c:idx val="1"/>
          <c:order val="1"/>
          <c:tx>
            <c:v>максимальный тариф</c:v>
          </c:tx>
          <c:spPr>
            <a:solidFill>
              <a:srgbClr val="8064A2"/>
            </a:solidFill>
            <a:ln>
              <a:noFill/>
            </a:ln>
          </c:spPr>
          <c:invertIfNegative val="0"/>
          <c:cat>
            <c:strLit>
              <c:ptCount val="38"/>
              <c:pt idx="0">
                <c:v>Абзелиловский район</c:v>
              </c:pt>
              <c:pt idx="1">
                <c:v>Архангельский район</c:v>
              </c:pt>
              <c:pt idx="2">
                <c:v>Белебеевский район</c:v>
              </c:pt>
              <c:pt idx="3">
                <c:v>Белокатайский район</c:v>
              </c:pt>
              <c:pt idx="4">
                <c:v>Белорецкий район</c:v>
              </c:pt>
              <c:pt idx="5">
                <c:v>Бирский район</c:v>
              </c:pt>
              <c:pt idx="6">
                <c:v>Благоварский район</c:v>
              </c:pt>
              <c:pt idx="7">
                <c:v>Благовещенский район</c:v>
              </c:pt>
              <c:pt idx="8">
                <c:v>Дуванский район</c:v>
              </c:pt>
              <c:pt idx="9">
                <c:v>Ермекеевский район</c:v>
              </c:pt>
              <c:pt idx="10">
                <c:v>Иглинский район</c:v>
              </c:pt>
              <c:pt idx="11">
                <c:v>Илишевский район</c:v>
              </c:pt>
              <c:pt idx="12">
                <c:v>Калтасинский район</c:v>
              </c:pt>
              <c:pt idx="13">
                <c:v>Караидельский район</c:v>
              </c:pt>
              <c:pt idx="14">
                <c:v>Кармаскалинский район</c:v>
              </c:pt>
              <c:pt idx="15">
                <c:v>Краснокамский район</c:v>
              </c:pt>
              <c:pt idx="16">
                <c:v>Мелеузовский район</c:v>
              </c:pt>
              <c:pt idx="17">
                <c:v>Нуримановский район</c:v>
              </c:pt>
              <c:pt idx="18">
                <c:v>Салаватский район</c:v>
              </c:pt>
              <c:pt idx="19">
                <c:v>Стерлибашевский район</c:v>
              </c:pt>
              <c:pt idx="20">
                <c:v>Стерлитамакский район</c:v>
              </c:pt>
              <c:pt idx="21">
                <c:v>Татышлинский район</c:v>
              </c:pt>
              <c:pt idx="22">
                <c:v>Туймазинский район</c:v>
              </c:pt>
              <c:pt idx="23">
                <c:v>Уфимский район</c:v>
              </c:pt>
              <c:pt idx="24">
                <c:v>Учалинский район</c:v>
              </c:pt>
              <c:pt idx="25">
                <c:v>Федоровский район</c:v>
              </c:pt>
              <c:pt idx="26">
                <c:v>Чекмагушевский район</c:v>
              </c:pt>
              <c:pt idx="27">
                <c:v>Чишминский район</c:v>
              </c:pt>
              <c:pt idx="28">
                <c:v>Шаранский район</c:v>
              </c:pt>
              <c:pt idx="29">
                <c:v>Янаульский район</c:v>
              </c:pt>
              <c:pt idx="30">
                <c:v>г. Агидель</c:v>
              </c:pt>
              <c:pt idx="31">
                <c:v>г. Кумертау</c:v>
              </c:pt>
              <c:pt idx="32">
                <c:v>г. Нефтекамск</c:v>
              </c:pt>
              <c:pt idx="33">
                <c:v>г. Октябрьский</c:v>
              </c:pt>
              <c:pt idx="34">
                <c:v>г. Салават</c:v>
              </c:pt>
              <c:pt idx="35">
                <c:v>г. Сибай</c:v>
              </c:pt>
              <c:pt idx="36">
                <c:v>г. Стерлитамак</c:v>
              </c:pt>
              <c:pt idx="37">
                <c:v>г. Уфа</c:v>
              </c:pt>
            </c:strLit>
          </c:cat>
          <c:val>
            <c:numLit>
              <c:formatCode>General</c:formatCode>
              <c:ptCount val="38"/>
              <c:pt idx="0">
                <c:v>1840.01</c:v>
              </c:pt>
              <c:pt idx="1">
                <c:v>1702.93</c:v>
              </c:pt>
              <c:pt idx="2">
                <c:v>1218.95</c:v>
              </c:pt>
              <c:pt idx="3">
                <c:v>1459.7</c:v>
              </c:pt>
              <c:pt idx="4">
                <c:v>3032.72</c:v>
              </c:pt>
              <c:pt idx="5">
                <c:v>1888.99</c:v>
              </c:pt>
              <c:pt idx="6">
                <c:v>1293.53</c:v>
              </c:pt>
              <c:pt idx="7">
                <c:v>2057.4499999999998</c:v>
              </c:pt>
              <c:pt idx="8">
                <c:v>1497.46</c:v>
              </c:pt>
              <c:pt idx="9">
                <c:v>1504.81</c:v>
              </c:pt>
              <c:pt idx="10">
                <c:v>1870.24</c:v>
              </c:pt>
              <c:pt idx="11">
                <c:v>2057.4499999999998</c:v>
              </c:pt>
              <c:pt idx="12">
                <c:v>1924.03</c:v>
              </c:pt>
              <c:pt idx="13">
                <c:v>1770.83</c:v>
              </c:pt>
              <c:pt idx="14">
                <c:v>1373.31</c:v>
              </c:pt>
              <c:pt idx="15">
                <c:v>1977.47</c:v>
              </c:pt>
              <c:pt idx="16">
                <c:v>1843.81</c:v>
              </c:pt>
              <c:pt idx="17">
                <c:v>1629.89</c:v>
              </c:pt>
              <c:pt idx="18">
                <c:v>1543.18</c:v>
              </c:pt>
              <c:pt idx="19">
                <c:v>1633.02</c:v>
              </c:pt>
              <c:pt idx="20">
                <c:v>1350.06</c:v>
              </c:pt>
              <c:pt idx="21">
                <c:v>1492.83</c:v>
              </c:pt>
              <c:pt idx="22">
                <c:v>1776.17</c:v>
              </c:pt>
              <c:pt idx="23">
                <c:v>2387.2399999999998</c:v>
              </c:pt>
              <c:pt idx="24">
                <c:v>2259.04</c:v>
              </c:pt>
              <c:pt idx="25">
                <c:v>1859.04</c:v>
              </c:pt>
              <c:pt idx="26">
                <c:v>1361.19</c:v>
              </c:pt>
              <c:pt idx="27">
                <c:v>1928.21</c:v>
              </c:pt>
              <c:pt idx="28">
                <c:v>1427.54</c:v>
              </c:pt>
              <c:pt idx="29">
                <c:v>2855.5</c:v>
              </c:pt>
              <c:pt idx="30">
                <c:v>2057.4499999999998</c:v>
              </c:pt>
              <c:pt idx="31">
                <c:v>1648.64</c:v>
              </c:pt>
              <c:pt idx="32">
                <c:v>2057.4499999999998</c:v>
              </c:pt>
              <c:pt idx="33">
                <c:v>2067.38</c:v>
              </c:pt>
              <c:pt idx="34">
                <c:v>1694.39</c:v>
              </c:pt>
              <c:pt idx="35">
                <c:v>2057.4499999999998</c:v>
              </c:pt>
              <c:pt idx="36">
                <c:v>1704.51</c:v>
              </c:pt>
              <c:pt idx="37">
                <c:v>2057.4499999999998</c:v>
              </c:pt>
            </c:numLit>
          </c:val>
          <c:extLst>
            <c:ext xmlns:c16="http://schemas.microsoft.com/office/drawing/2014/chart" uri="{C3380CC4-5D6E-409C-BE32-E72D297353CC}">
              <c16:uniqueId val="{00000001-1F48-42E1-9CE0-00AFDADFDC75}"/>
            </c:ext>
          </c:extLst>
        </c:ser>
        <c:dLbls>
          <c:showLegendKey val="0"/>
          <c:showVal val="0"/>
          <c:showCatName val="0"/>
          <c:showSerName val="0"/>
          <c:showPercent val="0"/>
          <c:showBubbleSize val="0"/>
        </c:dLbls>
        <c:gapWidth val="150"/>
        <c:shape val="box"/>
        <c:axId val="352674648"/>
        <c:axId val="307891872"/>
        <c:axId val="0"/>
      </c:bar3DChart>
      <c:valAx>
        <c:axId val="307891872"/>
        <c:scaling>
          <c:orientation val="minMax"/>
        </c:scaling>
        <c:delete val="0"/>
        <c:axPos val="l"/>
        <c:majorGridlines>
          <c:spPr>
            <a:ln w="9528" cap="flat">
              <a:solidFill>
                <a:srgbClr val="D9D9D9"/>
              </a:solidFill>
              <a:prstDash val="solid"/>
              <a:round/>
            </a:ln>
          </c:spPr>
        </c:majorGridlines>
        <c:numFmt formatCode="0.0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674648"/>
        <c:crosses val="autoZero"/>
        <c:crossBetween val="between"/>
      </c:valAx>
      <c:catAx>
        <c:axId val="352674648"/>
        <c:scaling>
          <c:orientation val="minMax"/>
        </c:scaling>
        <c:delete val="0"/>
        <c:axPos val="b"/>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07891872"/>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manualLayout>
          <c:xMode val="edge"/>
          <c:yMode val="edge"/>
          <c:x val="0"/>
          <c:y val="0"/>
          <c:w val="0.92921595873180207"/>
          <c:h val="0.7326895895732749"/>
        </c:manualLayout>
      </c:layout>
      <c:bar3DChart>
        <c:barDir val="col"/>
        <c:grouping val="clustered"/>
        <c:varyColors val="0"/>
        <c:ser>
          <c:idx val="0"/>
          <c:order val="0"/>
          <c:tx>
            <c:v>Базовая ставка тарифа на протяженность сетей</c:v>
          </c:tx>
          <c:spPr>
            <a:solidFill>
              <a:srgbClr val="4F81BD"/>
            </a:solidFill>
            <a:ln>
              <a:noFill/>
            </a:ln>
          </c:spPr>
          <c:invertIfNegative val="0"/>
          <c:cat>
            <c:strLit>
              <c:ptCount val="13"/>
              <c:pt idx="0">
                <c:v>Белокатайский район</c:v>
              </c:pt>
              <c:pt idx="1">
                <c:v>Ишимбайский район</c:v>
              </c:pt>
              <c:pt idx="2">
                <c:v>Калтасинский район</c:v>
              </c:pt>
              <c:pt idx="3">
                <c:v>Мелеузовский район</c:v>
              </c:pt>
              <c:pt idx="4">
                <c:v>Туймазинский район</c:v>
              </c:pt>
              <c:pt idx="5">
                <c:v>Учалинский район</c:v>
              </c:pt>
              <c:pt idx="6">
                <c:v>Янаульский район</c:v>
              </c:pt>
              <c:pt idx="7">
                <c:v>г. Агидель</c:v>
              </c:pt>
              <c:pt idx="8">
                <c:v>г. Кумертау</c:v>
              </c:pt>
              <c:pt idx="9">
                <c:v>г. Нефтекамск</c:v>
              </c:pt>
              <c:pt idx="10">
                <c:v>г. Октябрьский</c:v>
              </c:pt>
              <c:pt idx="11">
                <c:v>г. Сибай</c:v>
              </c:pt>
              <c:pt idx="12">
                <c:v>г. Бирск</c:v>
              </c:pt>
            </c:strLit>
          </c:cat>
          <c:val>
            <c:numLit>
              <c:formatCode>General</c:formatCode>
              <c:ptCount val="13"/>
              <c:pt idx="0">
                <c:v>6056.24</c:v>
              </c:pt>
              <c:pt idx="1">
                <c:v>7661.08</c:v>
              </c:pt>
              <c:pt idx="2">
                <c:v>5149.42</c:v>
              </c:pt>
              <c:pt idx="3">
                <c:v>7166.41</c:v>
              </c:pt>
              <c:pt idx="4">
                <c:v>6864.66</c:v>
              </c:pt>
              <c:pt idx="5">
                <c:v>4086.99</c:v>
              </c:pt>
              <c:pt idx="6">
                <c:v>4788.37</c:v>
              </c:pt>
              <c:pt idx="7">
                <c:v>5766.92</c:v>
              </c:pt>
              <c:pt idx="8">
                <c:v>4221.01</c:v>
              </c:pt>
              <c:pt idx="9">
                <c:v>8192.7800000000007</c:v>
              </c:pt>
              <c:pt idx="10">
                <c:v>4820.33</c:v>
              </c:pt>
              <c:pt idx="11">
                <c:v>5029.24</c:v>
              </c:pt>
              <c:pt idx="12">
                <c:v>3592.25</c:v>
              </c:pt>
            </c:numLit>
          </c:val>
          <c:extLst>
            <c:ext xmlns:c16="http://schemas.microsoft.com/office/drawing/2014/chart" uri="{C3380CC4-5D6E-409C-BE32-E72D297353CC}">
              <c16:uniqueId val="{00000000-EDFE-49EA-A8AF-FBDC5F3C1D60}"/>
            </c:ext>
          </c:extLst>
        </c:ser>
        <c:dLbls>
          <c:showLegendKey val="0"/>
          <c:showVal val="0"/>
          <c:showCatName val="0"/>
          <c:showSerName val="0"/>
          <c:showPercent val="0"/>
          <c:showBubbleSize val="0"/>
        </c:dLbls>
        <c:gapWidth val="150"/>
        <c:shape val="box"/>
        <c:axId val="352673664"/>
        <c:axId val="352675960"/>
        <c:axId val="0"/>
      </c:bar3DChart>
      <c:valAx>
        <c:axId val="352675960"/>
        <c:scaling>
          <c:orientation val="minMax"/>
        </c:scaling>
        <c:delete val="0"/>
        <c:axPos val="l"/>
        <c:majorGridlines>
          <c:spPr>
            <a:ln w="9528" cap="flat">
              <a:solidFill>
                <a:srgbClr val="D9D9D9"/>
              </a:solidFill>
              <a:prstDash val="solid"/>
              <a:round/>
            </a:ln>
          </c:spPr>
        </c:majorGridlines>
        <c:numFmt formatCode="0.0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673664"/>
        <c:crosses val="autoZero"/>
        <c:crossBetween val="between"/>
      </c:valAx>
      <c:catAx>
        <c:axId val="352673664"/>
        <c:scaling>
          <c:orientation val="minMax"/>
        </c:scaling>
        <c:delete val="0"/>
        <c:axPos val="b"/>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675960"/>
        <c:crosses val="autoZero"/>
        <c:auto val="1"/>
        <c:lblAlgn val="ctr"/>
        <c:lblOffset val="100"/>
        <c:noMultiLvlLbl val="0"/>
      </c:catAx>
      <c:spPr>
        <a:noFill/>
        <a:ln>
          <a:noFill/>
        </a:ln>
      </c:spPr>
    </c:plotArea>
    <c:legend>
      <c:legendPos val="r"/>
      <c:layout>
        <c:manualLayout>
          <c:xMode val="edge"/>
          <c:yMode val="edge"/>
          <c:x val="0.25396398114595536"/>
          <c:y val="0.86344367286630741"/>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600" b="1" i="0" u="none" strike="noStrike" kern="1200" cap="all" baseline="0">
                <a:solidFill>
                  <a:srgbClr val="595959"/>
                </a:solidFill>
                <a:latin typeface="Calibri"/>
              </a:defRPr>
            </a:pPr>
            <a:r>
              <a:rPr lang="ru-RU" sz="1600" b="1" i="0" u="none" strike="noStrike" kern="1200" cap="all" spc="0" baseline="0">
                <a:solidFill>
                  <a:srgbClr val="595959"/>
                </a:solidFill>
                <a:uFillTx/>
                <a:latin typeface="Calibri"/>
              </a:rPr>
              <a:t>Количество предложений о продаже гаражей</a:t>
            </a:r>
          </a:p>
        </c:rich>
      </c:tx>
      <c:overlay val="0"/>
      <c:spPr>
        <a:noFill/>
        <a:ln>
          <a:noFill/>
        </a:ln>
      </c:spPr>
    </c:title>
    <c:autoTitleDeleted val="0"/>
    <c:view3D>
      <c:rotX val="29"/>
      <c:rotY val="36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Ряд1</c:v>
          </c:tx>
          <c:dPt>
            <c:idx val="0"/>
            <c:bubble3D val="0"/>
            <c:spPr>
              <a:solidFill>
                <a:srgbClr val="4F81BD"/>
              </a:solidFill>
              <a:ln>
                <a:noFill/>
              </a:ln>
              <a:effectLst>
                <a:outerShdw dir="16200000" algn="tl">
                  <a:srgbClr val="000000">
                    <a:alpha val="10000"/>
                  </a:srgbClr>
                </a:outerShdw>
              </a:effectLst>
            </c:spPr>
            <c:extLst>
              <c:ext xmlns:c16="http://schemas.microsoft.com/office/drawing/2014/chart" uri="{C3380CC4-5D6E-409C-BE32-E72D297353CC}">
                <c16:uniqueId val="{00000000-3B6F-421B-8970-7EDEBA2BF064}"/>
              </c:ext>
            </c:extLst>
          </c:dPt>
          <c:dPt>
            <c:idx val="1"/>
            <c:bubble3D val="0"/>
            <c:spPr>
              <a:solidFill>
                <a:srgbClr val="C0504D"/>
              </a:solidFill>
              <a:ln>
                <a:noFill/>
              </a:ln>
              <a:effectLst>
                <a:outerShdw dir="16200000" algn="tl">
                  <a:srgbClr val="000000">
                    <a:alpha val="10000"/>
                  </a:srgbClr>
                </a:outerShdw>
              </a:effectLst>
            </c:spPr>
            <c:extLst>
              <c:ext xmlns:c16="http://schemas.microsoft.com/office/drawing/2014/chart" uri="{C3380CC4-5D6E-409C-BE32-E72D297353CC}">
                <c16:uniqueId val="{00000001-3B6F-421B-8970-7EDEBA2BF064}"/>
              </c:ext>
            </c:extLst>
          </c:dPt>
          <c:dLbls>
            <c:dLbl>
              <c:idx val="0"/>
              <c:layout>
                <c:manualLayout>
                  <c:xMode val="edge"/>
                  <c:yMode val="edge"/>
                  <c:x val="0.80865376202974626"/>
                  <c:y val="0.59848789734616503"/>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4F81BD"/>
                        </a:solidFill>
                        <a:latin typeface="Calibri"/>
                      </a:defRPr>
                    </a:pPr>
                    <a:r>
                      <a:rPr lang="ru-RU" sz="1000" b="1" i="0" u="none" strike="noStrike" kern="1200" cap="none" spc="0" baseline="0">
                        <a:solidFill>
                          <a:srgbClr val="4F81BD"/>
                        </a:solidFill>
                        <a:uFillTx/>
                        <a:latin typeface="Calibri"/>
                      </a:rPr>
                      <a:t>1 52%</a:t>
                    </a:r>
                  </a:p>
                </c:rich>
              </c:tx>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3B6F-421B-8970-7EDEBA2BF064}"/>
                </c:ext>
              </c:extLst>
            </c:dLbl>
            <c:dLbl>
              <c:idx val="1"/>
              <c:layout>
                <c:manualLayout>
                  <c:xMode val="edge"/>
                  <c:yMode val="edge"/>
                  <c:x val="4.1666666666666664E-2"/>
                  <c:y val="0.23617235345581802"/>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4F81BD"/>
                        </a:solidFill>
                        <a:latin typeface="Calibri"/>
                      </a:defRPr>
                    </a:pPr>
                    <a:r>
                      <a:rPr lang="ru-RU" sz="1000" b="1" i="0" u="none" strike="noStrike" kern="1200" cap="none" spc="0" baseline="0">
                        <a:solidFill>
                          <a:srgbClr val="4F81BD"/>
                        </a:solidFill>
                        <a:uFillTx/>
                        <a:latin typeface="Calibri"/>
                      </a:rPr>
                      <a:t>2 48%</a:t>
                    </a:r>
                  </a:p>
                </c:rich>
              </c:tx>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B6F-421B-8970-7EDEBA2BF064}"/>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Lit>
              <c:ptCount val="2"/>
              <c:pt idx="0">
                <c:v>г.Уфа</c:v>
              </c:pt>
              <c:pt idx="1">
                <c:v>Другие города РБ</c:v>
              </c:pt>
            </c:strLit>
          </c:cat>
          <c:val>
            <c:numLit>
              <c:formatCode>General</c:formatCode>
              <c:ptCount val="2"/>
              <c:pt idx="0">
                <c:v>0.52493438320209973</c:v>
              </c:pt>
              <c:pt idx="1">
                <c:v>0.47506561679790027</c:v>
              </c:pt>
            </c:numLit>
          </c:val>
          <c:extLst>
            <c:ext xmlns:c16="http://schemas.microsoft.com/office/drawing/2014/chart" uri="{C3380CC4-5D6E-409C-BE32-E72D297353CC}">
              <c16:uniqueId val="{00000004-6B57-414E-98AB-B7F9E9CCC8CB}"/>
            </c:ext>
          </c:extLst>
        </c:ser>
        <c:dLbls>
          <c:showLegendKey val="0"/>
          <c:showVal val="0"/>
          <c:showCatName val="0"/>
          <c:showSerName val="0"/>
          <c:showPercent val="0"/>
          <c:showBubbleSize val="0"/>
          <c:showLeaderLines val="1"/>
        </c:dLbls>
      </c:pie3D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2000" b="0" i="0" u="none" strike="noStrike" kern="1200" cap="none" spc="0" baseline="0">
                <a:solidFill>
                  <a:srgbClr val="595959"/>
                </a:solidFill>
                <a:latin typeface="Cambria"/>
              </a:defRPr>
            </a:pPr>
            <a:r>
              <a:rPr lang="ru-RU" sz="2000" b="0" i="0" u="none" strike="noStrike" kern="1200" cap="none" spc="0" baseline="0">
                <a:solidFill>
                  <a:srgbClr val="595959"/>
                </a:solidFill>
                <a:uFillTx/>
                <a:latin typeface="Cambria"/>
              </a:rPr>
              <a:t>Средняя стоимость, руб./кв.м.</a:t>
            </a:r>
          </a:p>
        </c:rich>
      </c:tx>
      <c:overlay val="0"/>
      <c:spPr>
        <a:noFill/>
        <a:ln>
          <a:noFill/>
        </a:ln>
      </c:spPr>
    </c:title>
    <c:autoTitleDeleted val="0"/>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tx>
            <c:v>Средняя стоимость, руб./кв.м.</c:v>
          </c:tx>
          <c:spPr>
            <a:solidFill>
              <a:srgbClr val="8064A2"/>
            </a:solidFill>
            <a:ln>
              <a:noFill/>
            </a:ln>
          </c:spPr>
          <c:invertIfNegative val="0"/>
          <c:cat>
            <c:strLit>
              <c:ptCount val="17"/>
              <c:pt idx="0">
                <c:v>город Агидель</c:v>
              </c:pt>
              <c:pt idx="1">
                <c:v>город Кумертау</c:v>
              </c:pt>
              <c:pt idx="2">
                <c:v>город Нефтекамск</c:v>
              </c:pt>
              <c:pt idx="3">
                <c:v>город Октябрьский</c:v>
              </c:pt>
              <c:pt idx="4">
                <c:v>город Салават</c:v>
              </c:pt>
              <c:pt idx="5">
                <c:v>город Сибай</c:v>
              </c:pt>
              <c:pt idx="6">
                <c:v>город Стерлитамак</c:v>
              </c:pt>
              <c:pt idx="7">
                <c:v>город Уфа</c:v>
              </c:pt>
              <c:pt idx="8">
                <c:v>город Белебей</c:v>
              </c:pt>
              <c:pt idx="9">
                <c:v>город Белорецк</c:v>
              </c:pt>
              <c:pt idx="10">
                <c:v>город Бирск</c:v>
              </c:pt>
              <c:pt idx="11">
                <c:v>город Благовещенск</c:v>
              </c:pt>
              <c:pt idx="12">
                <c:v>город Ишимбай</c:v>
              </c:pt>
              <c:pt idx="13">
                <c:v>город Мелеуз</c:v>
              </c:pt>
              <c:pt idx="14">
                <c:v>город Туймазы</c:v>
              </c:pt>
              <c:pt idx="15">
                <c:v>город Учалы</c:v>
              </c:pt>
              <c:pt idx="16">
                <c:v>город Янаул</c:v>
              </c:pt>
            </c:strLit>
          </c:cat>
          <c:val>
            <c:numLit>
              <c:formatCode>General</c:formatCode>
              <c:ptCount val="17"/>
              <c:pt idx="0">
                <c:v>900</c:v>
              </c:pt>
              <c:pt idx="1">
                <c:v>1310</c:v>
              </c:pt>
              <c:pt idx="2">
                <c:v>1321</c:v>
              </c:pt>
              <c:pt idx="3">
                <c:v>2526</c:v>
              </c:pt>
              <c:pt idx="4">
                <c:v>1932</c:v>
              </c:pt>
              <c:pt idx="5">
                <c:v>924</c:v>
              </c:pt>
              <c:pt idx="6">
                <c:v>1541</c:v>
              </c:pt>
              <c:pt idx="7">
                <c:v>2910</c:v>
              </c:pt>
              <c:pt idx="8">
                <c:v>751</c:v>
              </c:pt>
              <c:pt idx="9">
                <c:v>1419</c:v>
              </c:pt>
              <c:pt idx="10">
                <c:v>2305</c:v>
              </c:pt>
              <c:pt idx="11">
                <c:v>1527</c:v>
              </c:pt>
              <c:pt idx="12">
                <c:v>1789</c:v>
              </c:pt>
              <c:pt idx="13">
                <c:v>1751</c:v>
              </c:pt>
              <c:pt idx="14">
                <c:v>967</c:v>
              </c:pt>
              <c:pt idx="15">
                <c:v>1224</c:v>
              </c:pt>
              <c:pt idx="16">
                <c:v>333</c:v>
              </c:pt>
            </c:numLit>
          </c:val>
          <c:extLst>
            <c:ext xmlns:c16="http://schemas.microsoft.com/office/drawing/2014/chart" uri="{C3380CC4-5D6E-409C-BE32-E72D297353CC}">
              <c16:uniqueId val="{00000000-D092-474E-83AE-5773AAB4E064}"/>
            </c:ext>
          </c:extLst>
        </c:ser>
        <c:dLbls>
          <c:showLegendKey val="0"/>
          <c:showVal val="0"/>
          <c:showCatName val="0"/>
          <c:showSerName val="0"/>
          <c:showPercent val="0"/>
          <c:showBubbleSize val="0"/>
        </c:dLbls>
        <c:gapWidth val="150"/>
        <c:shape val="box"/>
        <c:axId val="352670712"/>
        <c:axId val="352671040"/>
        <c:axId val="0"/>
      </c:bar3DChart>
      <c:valAx>
        <c:axId val="352671040"/>
        <c:scaling>
          <c:orientation val="minMax"/>
        </c:scaling>
        <c:delete val="0"/>
        <c:axPos val="l"/>
        <c:majorGridlines>
          <c:spPr>
            <a:ln w="9528" cap="flat">
              <a:solidFill>
                <a:srgbClr val="D9D9D9"/>
              </a:solidFill>
              <a:prstDash val="solid"/>
              <a:round/>
            </a:ln>
          </c:spPr>
        </c:majorGridlines>
        <c:minorGridlines>
          <c:spPr>
            <a:ln w="9528" cap="flat">
              <a:solidFill>
                <a:srgbClr val="F2F2F2"/>
              </a:solidFill>
              <a:prstDash val="solid"/>
              <a:round/>
            </a:ln>
          </c:spPr>
        </c:min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670712"/>
        <c:crosses val="autoZero"/>
        <c:crossBetween val="between"/>
      </c:valAx>
      <c:catAx>
        <c:axId val="352670712"/>
        <c:scaling>
          <c:orientation val="minMax"/>
        </c:scaling>
        <c:delete val="0"/>
        <c:axPos val="b"/>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cap="none" spc="0" baseline="0">
                <a:solidFill>
                  <a:srgbClr val="595959"/>
                </a:solidFill>
                <a:latin typeface="Calibri"/>
              </a:defRPr>
            </a:pPr>
            <a:endParaRPr lang="ru-RU"/>
          </a:p>
        </c:txPr>
        <c:crossAx val="35267104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900" b="0" i="0" u="none" strike="noStrike" kern="1200" baseline="0">
          <a:solidFill>
            <a:srgbClr val="000000"/>
          </a:solidFill>
          <a:latin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plotArea>
      <c:layout/>
      <c:barChart>
        <c:barDir val="col"/>
        <c:grouping val="clustered"/>
        <c:varyColors val="0"/>
        <c:ser>
          <c:idx val="0"/>
          <c:order val="0"/>
          <c:tx>
            <c:v>Ряд1</c:v>
          </c:tx>
          <c:spPr>
            <a:solidFill>
              <a:srgbClr val="4F81BD"/>
            </a:solidFill>
            <a:ln>
              <a:noFill/>
            </a:ln>
          </c:spPr>
          <c:invertIfNegative val="0"/>
          <c:cat>
            <c:strLit>
              <c:ptCount val="5"/>
              <c:pt idx="0">
                <c:v>4740-9710</c:v>
              </c:pt>
              <c:pt idx="1">
                <c:v>2840-4740</c:v>
              </c:pt>
              <c:pt idx="2">
                <c:v>1500-2840</c:v>
              </c:pt>
              <c:pt idx="3">
                <c:v>860-1500</c:v>
              </c:pt>
              <c:pt idx="4">
                <c:v>214-860</c:v>
              </c:pt>
            </c:strLit>
          </c:cat>
          <c:val>
            <c:numLit>
              <c:formatCode>General</c:formatCode>
              <c:ptCount val="5"/>
              <c:pt idx="0">
                <c:v>0.11666666666666667</c:v>
              </c:pt>
              <c:pt idx="1">
                <c:v>0.21666666666666667</c:v>
              </c:pt>
              <c:pt idx="2">
                <c:v>0.3</c:v>
              </c:pt>
              <c:pt idx="3">
                <c:v>0.18333333333333332</c:v>
              </c:pt>
              <c:pt idx="4">
                <c:v>0.18333333333333332</c:v>
              </c:pt>
            </c:numLit>
          </c:val>
          <c:extLst>
            <c:ext xmlns:c16="http://schemas.microsoft.com/office/drawing/2014/chart" uri="{C3380CC4-5D6E-409C-BE32-E72D297353CC}">
              <c16:uniqueId val="{00000000-00B1-41CA-B2F0-9D420E874B5F}"/>
            </c:ext>
          </c:extLst>
        </c:ser>
        <c:dLbls>
          <c:showLegendKey val="0"/>
          <c:showVal val="0"/>
          <c:showCatName val="0"/>
          <c:showSerName val="0"/>
          <c:showPercent val="0"/>
          <c:showBubbleSize val="0"/>
        </c:dLbls>
        <c:gapWidth val="219"/>
        <c:overlap val="-27"/>
        <c:axId val="352457288"/>
        <c:axId val="352456304"/>
      </c:barChart>
      <c:valAx>
        <c:axId val="352456304"/>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ru-RU" sz="1000" b="0" i="0" u="none" strike="noStrike" kern="1200" cap="none" spc="0" baseline="0">
                    <a:solidFill>
                      <a:srgbClr val="595959"/>
                    </a:solidFill>
                    <a:uFillTx/>
                    <a:latin typeface="Calibri"/>
                  </a:rPr>
                  <a:t>Частота</a:t>
                </a:r>
              </a:p>
            </c:rich>
          </c:tx>
          <c:overlay val="0"/>
          <c:spPr>
            <a:noFill/>
            <a:ln>
              <a:noFill/>
            </a:ln>
          </c:spPr>
        </c:title>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457288"/>
        <c:crosses val="autoZero"/>
        <c:crossBetween val="between"/>
      </c:valAx>
      <c:catAx>
        <c:axId val="352457288"/>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ru-RU" sz="1000" b="0" i="0" u="none" strike="noStrike" kern="1200" cap="none" spc="0" baseline="0">
                    <a:solidFill>
                      <a:srgbClr val="595959"/>
                    </a:solidFill>
                    <a:uFillTx/>
                    <a:latin typeface="Calibri"/>
                  </a:rPr>
                  <a:t>Интервал удельных цен (руб. за кв.м.)</a:t>
                </a:r>
              </a:p>
            </c:rich>
          </c:tx>
          <c:overlay val="0"/>
          <c:spPr>
            <a:noFill/>
            <a:ln>
              <a:noFill/>
            </a:ln>
          </c:spPr>
        </c:title>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45630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plotArea>
      <c:layout/>
      <c:barChart>
        <c:barDir val="col"/>
        <c:grouping val="clustered"/>
        <c:varyColors val="0"/>
        <c:ser>
          <c:idx val="0"/>
          <c:order val="0"/>
          <c:tx>
            <c:v>Ряд1</c:v>
          </c:tx>
          <c:spPr>
            <a:solidFill>
              <a:srgbClr val="4F81BD"/>
            </a:solidFill>
            <a:ln>
              <a:noFill/>
            </a:ln>
          </c:spPr>
          <c:invertIfNegative val="0"/>
          <c:cat>
            <c:strLit>
              <c:ptCount val="5"/>
              <c:pt idx="0">
                <c:v>60-130</c:v>
              </c:pt>
              <c:pt idx="1">
                <c:v>130-220</c:v>
              </c:pt>
              <c:pt idx="2">
                <c:v>220-370</c:v>
              </c:pt>
              <c:pt idx="3">
                <c:v>370-690</c:v>
              </c:pt>
              <c:pt idx="4">
                <c:v>690-1150</c:v>
              </c:pt>
            </c:strLit>
          </c:cat>
          <c:val>
            <c:numLit>
              <c:formatCode>General</c:formatCode>
              <c:ptCount val="5"/>
              <c:pt idx="0">
                <c:v>0.13333333333333333</c:v>
              </c:pt>
              <c:pt idx="1">
                <c:v>0.21333333333333335</c:v>
              </c:pt>
              <c:pt idx="2">
                <c:v>0.38666666666666666</c:v>
              </c:pt>
              <c:pt idx="3">
                <c:v>0.16</c:v>
              </c:pt>
              <c:pt idx="4">
                <c:v>0.10666666666666667</c:v>
              </c:pt>
            </c:numLit>
          </c:val>
          <c:extLst>
            <c:ext xmlns:c16="http://schemas.microsoft.com/office/drawing/2014/chart" uri="{C3380CC4-5D6E-409C-BE32-E72D297353CC}">
              <c16:uniqueId val="{00000000-73A7-43D8-8A7F-88DDB08DA0DA}"/>
            </c:ext>
          </c:extLst>
        </c:ser>
        <c:dLbls>
          <c:showLegendKey val="0"/>
          <c:showVal val="0"/>
          <c:showCatName val="0"/>
          <c:showSerName val="0"/>
          <c:showPercent val="0"/>
          <c:showBubbleSize val="0"/>
        </c:dLbls>
        <c:gapWidth val="219"/>
        <c:overlap val="-27"/>
        <c:axId val="352454664"/>
        <c:axId val="352457944"/>
      </c:barChart>
      <c:valAx>
        <c:axId val="352457944"/>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ru-RU" sz="1000" b="0" i="0" u="none" strike="noStrike" kern="1200" cap="none" spc="0" baseline="0">
                    <a:solidFill>
                      <a:srgbClr val="595959"/>
                    </a:solidFill>
                    <a:uFillTx/>
                    <a:latin typeface="Calibri"/>
                  </a:rPr>
                  <a:t>Частота</a:t>
                </a:r>
              </a:p>
            </c:rich>
          </c:tx>
          <c:overlay val="0"/>
          <c:spPr>
            <a:noFill/>
            <a:ln>
              <a:noFill/>
            </a:ln>
          </c:spPr>
        </c:title>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454664"/>
        <c:crosses val="autoZero"/>
        <c:crossBetween val="between"/>
      </c:valAx>
      <c:catAx>
        <c:axId val="352454664"/>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ru-RU" sz="1000" b="0" i="0" u="none" strike="noStrike" kern="1200" cap="none" spc="0" baseline="0">
                    <a:solidFill>
                      <a:srgbClr val="595959"/>
                    </a:solidFill>
                    <a:uFillTx/>
                    <a:latin typeface="Calibri"/>
                  </a:rPr>
                  <a:t>Интервал удельных цен (руб. за кв.м.)</a:t>
                </a:r>
              </a:p>
            </c:rich>
          </c:tx>
          <c:overlay val="0"/>
          <c:spPr>
            <a:noFill/>
            <a:ln>
              <a:noFill/>
            </a:ln>
          </c:spPr>
        </c:title>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45794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plotArea>
      <c:layout/>
      <c:barChart>
        <c:barDir val="col"/>
        <c:grouping val="clustered"/>
        <c:varyColors val="0"/>
        <c:ser>
          <c:idx val="0"/>
          <c:order val="0"/>
          <c:tx>
            <c:v>Ряд1</c:v>
          </c:tx>
          <c:spPr>
            <a:solidFill>
              <a:srgbClr val="4F81BD"/>
            </a:solidFill>
            <a:ln>
              <a:noFill/>
            </a:ln>
          </c:spPr>
          <c:invertIfNegative val="0"/>
          <c:cat>
            <c:strLit>
              <c:ptCount val="3"/>
              <c:pt idx="0">
                <c:v>600-900</c:v>
              </c:pt>
              <c:pt idx="1">
                <c:v>900-1200</c:v>
              </c:pt>
              <c:pt idx="2">
                <c:v>1200-1900</c:v>
              </c:pt>
            </c:strLit>
          </c:cat>
          <c:val>
            <c:numLit>
              <c:formatCode>General</c:formatCode>
              <c:ptCount val="3"/>
              <c:pt idx="0">
                <c:v>0.2857142857142857</c:v>
              </c:pt>
              <c:pt idx="1">
                <c:v>0.42857142857142855</c:v>
              </c:pt>
              <c:pt idx="2">
                <c:v>0.2857142857142857</c:v>
              </c:pt>
            </c:numLit>
          </c:val>
          <c:extLst>
            <c:ext xmlns:c16="http://schemas.microsoft.com/office/drawing/2014/chart" uri="{C3380CC4-5D6E-409C-BE32-E72D297353CC}">
              <c16:uniqueId val="{00000000-A42F-463E-953B-451FBC40E089}"/>
            </c:ext>
          </c:extLst>
        </c:ser>
        <c:dLbls>
          <c:showLegendKey val="0"/>
          <c:showVal val="0"/>
          <c:showCatName val="0"/>
          <c:showSerName val="0"/>
          <c:showPercent val="0"/>
          <c:showBubbleSize val="0"/>
        </c:dLbls>
        <c:gapWidth val="219"/>
        <c:overlap val="-27"/>
        <c:axId val="352452696"/>
        <c:axId val="352458272"/>
      </c:barChart>
      <c:valAx>
        <c:axId val="352458272"/>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ru-RU" sz="1000" b="0" i="0" u="none" strike="noStrike" kern="1200" cap="none" spc="0" baseline="0">
                    <a:solidFill>
                      <a:srgbClr val="595959"/>
                    </a:solidFill>
                    <a:uFillTx/>
                    <a:latin typeface="Calibri"/>
                  </a:rPr>
                  <a:t>Частота</a:t>
                </a:r>
              </a:p>
            </c:rich>
          </c:tx>
          <c:overlay val="0"/>
          <c:spPr>
            <a:noFill/>
            <a:ln>
              <a:noFill/>
            </a:ln>
          </c:spPr>
        </c:title>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452696"/>
        <c:crosses val="autoZero"/>
        <c:crossBetween val="between"/>
      </c:valAx>
      <c:catAx>
        <c:axId val="352452696"/>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ru-RU" sz="1000" b="0" i="0" u="none" strike="noStrike" kern="1200" cap="none" spc="0" baseline="0">
                    <a:solidFill>
                      <a:srgbClr val="595959"/>
                    </a:solidFill>
                    <a:uFillTx/>
                    <a:latin typeface="Calibri"/>
                  </a:rPr>
                  <a:t>Интервал удельных цен (руб. за кв.м.)</a:t>
                </a:r>
              </a:p>
            </c:rich>
          </c:tx>
          <c:overlay val="0"/>
          <c:spPr>
            <a:noFill/>
            <a:ln>
              <a:noFill/>
            </a:ln>
          </c:spPr>
        </c:title>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ru-RU"/>
          </a:p>
        </c:txPr>
        <c:crossAx val="35245827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77435</Words>
  <Characters>441382</Characters>
  <Application>Microsoft Office Word</Application>
  <DocSecurity>0</DocSecurity>
  <Lines>3678</Lines>
  <Paragraphs>1035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Пользователь Windows</cp:lastModifiedBy>
  <cp:revision>3</cp:revision>
  <cp:lastPrinted>2018-06-20T03:14:00Z</cp:lastPrinted>
  <dcterms:created xsi:type="dcterms:W3CDTF">2019-07-29T09:16:00Z</dcterms:created>
  <dcterms:modified xsi:type="dcterms:W3CDTF">2019-07-29T09:16:00Z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6958867</vt:lpwstr>
  </property>
  <property fmtid="{D5CDD505-2E9C-101B-9397-08002B2CF9AE}" name="NXPowerLiteSettings" pid="3">
    <vt:lpwstr>C7000400038000</vt:lpwstr>
  </property>
  <property fmtid="{D5CDD505-2E9C-101B-9397-08002B2CF9AE}" name="NXPowerLiteVersion" pid="4">
    <vt:lpwstr>S8.2.2</vt:lpwstr>
  </property>
</Properties>
</file>