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86" w:rsidRDefault="008F0686" w:rsidP="008F0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831B9C" w:rsidRPr="0043387E" w:rsidTr="00BA3069">
        <w:trPr>
          <w:cantSplit/>
          <w:trHeight w:val="2259"/>
        </w:trPr>
        <w:tc>
          <w:tcPr>
            <w:tcW w:w="4111" w:type="dxa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БУРЛЫ</w:t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АУЫЛ СОВЕТЫ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8DAE0F" wp14:editId="4F5B4985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БУРЛИНСКИЙ</w:t>
            </w: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3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831B9C" w:rsidRPr="0043387E" w:rsidTr="00BA3069">
        <w:trPr>
          <w:cantSplit/>
        </w:trPr>
        <w:tc>
          <w:tcPr>
            <w:tcW w:w="4111" w:type="dxa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453060</w:t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</w:t>
            </w:r>
            <w:proofErr w:type="gram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афури</w:t>
            </w:r>
            <w:proofErr w:type="spellEnd"/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43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Бурлы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2-33-21</w:t>
            </w:r>
          </w:p>
        </w:tc>
        <w:tc>
          <w:tcPr>
            <w:tcW w:w="1559" w:type="dxa"/>
            <w:vMerge/>
            <w:vAlign w:val="center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Бурлы,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2-33-21</w:t>
            </w:r>
          </w:p>
        </w:tc>
      </w:tr>
    </w:tbl>
    <w:p w:rsidR="00831B9C" w:rsidRPr="0043387E" w:rsidRDefault="00831B9C" w:rsidP="00831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B9C" w:rsidRPr="0043387E" w:rsidTr="00BA3069">
        <w:trPr>
          <w:trHeight w:val="147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31B9C" w:rsidRPr="0043387E" w:rsidRDefault="00831B9C" w:rsidP="00BA3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831B9C" w:rsidRPr="0043387E" w:rsidRDefault="00831B9C" w:rsidP="00831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768" w:type="dxa"/>
        <w:tblLook w:val="00A0" w:firstRow="1" w:lastRow="0" w:firstColumn="1" w:lastColumn="0" w:noHBand="0" w:noVBand="0"/>
      </w:tblPr>
      <w:tblGrid>
        <w:gridCol w:w="3114"/>
        <w:gridCol w:w="3100"/>
        <w:gridCol w:w="3157"/>
      </w:tblGrid>
      <w:tr w:rsidR="00831B9C" w:rsidTr="00BA3069">
        <w:tc>
          <w:tcPr>
            <w:tcW w:w="3190" w:type="dxa"/>
            <w:hideMark/>
          </w:tcPr>
          <w:p w:rsidR="00831B9C" w:rsidRDefault="00831B9C" w:rsidP="00BA30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831B9C" w:rsidRDefault="00831B9C" w:rsidP="00BA30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831B9C" w:rsidRDefault="00831B9C" w:rsidP="00BA306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31B9C" w:rsidTr="00BA3069">
        <w:tc>
          <w:tcPr>
            <w:tcW w:w="3190" w:type="dxa"/>
            <w:hideMark/>
          </w:tcPr>
          <w:p w:rsidR="00831B9C" w:rsidRDefault="00831B9C" w:rsidP="00831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2019 й.</w:t>
            </w:r>
          </w:p>
        </w:tc>
        <w:tc>
          <w:tcPr>
            <w:tcW w:w="3190" w:type="dxa"/>
            <w:hideMark/>
          </w:tcPr>
          <w:p w:rsidR="00831B9C" w:rsidRDefault="00831B9C" w:rsidP="00BA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hideMark/>
          </w:tcPr>
          <w:p w:rsidR="00831B9C" w:rsidRDefault="00831B9C" w:rsidP="00831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2019 г.</w:t>
            </w:r>
          </w:p>
        </w:tc>
      </w:tr>
    </w:tbl>
    <w:p w:rsidR="00831B9C" w:rsidRPr="008F0686" w:rsidRDefault="00831B9C" w:rsidP="008F0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 в постановление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</w:t>
      </w: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айон Республики Башкортостан от 24.12.2018 </w:t>
      </w: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</w:t>
      </w: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имущественной поддержке субъектов</w:t>
      </w: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предоставлении муниципального имущества</w:t>
      </w: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F0686" w:rsidRPr="008F0686" w:rsidRDefault="008F0686" w:rsidP="008F06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Федерации», Администрация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8F0686" w:rsidRPr="008F0686" w:rsidRDefault="008F0686" w:rsidP="008F06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Состав межведомственной рабочей группы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формированию перечня муниципального имущества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РБ для оказания имущественной поддержки субъектов малого и среднего предпринимательства, изложив его в редакции согласно приложению №1 к настоящему постановлению. </w:t>
      </w: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№2 «Положение о межведомственной рабочей группе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формированию перечня муниципального имущества для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оказания имущественной поддержки субъектов малого и среднего предпринимательства», изложив его в редакции согласно приложению №2 к настоящему постановлению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№3 «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поддержки субъектов малого и среднего предпринимательства», изложив его в редакции согласно приложению №3 к настоящему постановлению.</w:t>
      </w:r>
    </w:p>
    <w:p w:rsidR="008F0686" w:rsidRPr="008F0686" w:rsidRDefault="008F0686" w:rsidP="008F0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Управляющему делами Администрации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обеспечить опубликование настоящего постановления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7" w:history="1">
        <w:r>
          <w:rPr>
            <w:rStyle w:val="a3"/>
          </w:rPr>
          <w:t>http://sp-burly.ru/</w:t>
        </w:r>
      </w:hyperlink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над исполнением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А.К.Хайретдинов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tabs>
          <w:tab w:val="left" w:pos="18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Pr="008F0686" w:rsidRDefault="008F0686" w:rsidP="008F06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86" w:rsidRPr="008F0686" w:rsidRDefault="008F0686" w:rsidP="008F06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F0686" w:rsidRPr="008F0686" w:rsidRDefault="008F0686" w:rsidP="008F06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8F0686" w:rsidRPr="008F0686" w:rsidRDefault="008F0686" w:rsidP="008F068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Хайретдинов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Кашафетдинович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F0686" w:rsidRPr="008F0686" w:rsidRDefault="008F0686" w:rsidP="008F0686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Шамсутдинов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Рафилович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избирательного округа № 9.</w:t>
      </w:r>
    </w:p>
    <w:p w:rsidR="008F0686" w:rsidRPr="008F0686" w:rsidRDefault="008F0686" w:rsidP="008F0686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делами.</w:t>
      </w:r>
    </w:p>
    <w:p w:rsidR="008F0686" w:rsidRPr="008F0686" w:rsidRDefault="008F0686" w:rsidP="008F0686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686" w:rsidRPr="008F0686" w:rsidRDefault="008F0686" w:rsidP="008F068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Халилова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Ляйсан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Анваровна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избирательного округа № 7.</w:t>
      </w:r>
    </w:p>
    <w:p w:rsidR="008F0686" w:rsidRPr="008F0686" w:rsidRDefault="008F0686" w:rsidP="008F0686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Суфиянова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Минисламовна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категории.</w:t>
      </w:r>
    </w:p>
    <w:p w:rsidR="008F0686" w:rsidRPr="008F0686" w:rsidRDefault="008F0686" w:rsidP="008F0686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F0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86" w:rsidRPr="008F0686" w:rsidRDefault="008F0686" w:rsidP="008F068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F0686" w:rsidRP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рабочая группа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распоряжениями главы Республики Башкортостан, распоряжениями главы</w:t>
      </w:r>
      <w:r w:rsidRPr="008F0686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настоящим Положением.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рамках реализации положений Федерального закона от 24.07.2007г. №209-ФЗ «О развитии малого и среднего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в Российской Федерации» (далее - №209-ФЗ), изыскание дополнительных источников имущества для формирования и расширения перечней муниципального имущества, предусмотренных ч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18 Закона №209-ФЗ. 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Задачи рабочей группы: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Разработка предложений по вопросам оказания имущественной поддержки субъектам малого и среднего предпринимательства, в том числе в части совершенствования нормативного правового регулирования;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и предложений по вопросам, отнесенным к компетенции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Рассмотрение предложений по включению в перечень муниципального имущества, предназначенного для передачи во владение и (или) пользование субъектам малого и среднего предпринимательств и принятие решения по исключению и включению объектов недвижимого (движимого) имущества в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Состав Группы утверждается главой Администрации</w:t>
      </w:r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РБ.</w:t>
      </w:r>
    </w:p>
    <w:p w:rsidR="008F0686" w:rsidRPr="008F0686" w:rsidRDefault="008F0686" w:rsidP="008F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рабочей группы: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Рассматривать на своих заседаниях вопросы в соответствии с компетенцией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Запрашивать в установленном порядке у органов исполнительной власти, федеральных контролирующих органов и органов местного самоуправления, общественных объединений, необходимые материалы и информацию по вопросам, относящимся к компетенции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Привлекать к работе рабочей группы представителей заинтересованных органов исполнительной власти, общественных и некоммерческих организаций (объединений), представителей субъектов предпринимательства, и других организаций, а также специалистов.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деятельности рабочей группы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Заседания Рабочей группы проводятся по мере необходимости, но не реже одного раза в квартал. 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Председатель Рабочей группы: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деятельность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о времени и месте проведения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-утверждает повестку дня заседания Рабочей группы и порядок ее работы;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-определяет порядок рассмотрения вопросов на заседании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-подписывает протоколы заседаний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Секретарь Рабочей группы: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организационные мероприятия, связанные с подготовкой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-доводит до сведения членов Рабочей группы повестку дня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-информирует членов Рабочей группы о времени  и месте проведения заседаний;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-оформляет протоколы заседаний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 делопроизводство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-организует подготовку материалов к заседаниям Рабочей группы, а также проектов ее решений.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3.8.Члены рабочей группы: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вносят предложения по повестке дня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-участвуют в заседаниях Рабочей группы и обсуждении рассматриваемых на них вопросах;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-участвуют в подготовке и принятии решений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Заседание рабочей группы считается правомочным, если на нем присутствует более половины ее членов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Члены Группы участвуют в ее заседаниях без права замены.  В случае отсутствия члена Группы на заседании он имеет право представлять свое мнение по рассматриваемым вопросам в письменной форме.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 голосовании каждый член рабочей группы имеет один голос. Решения рабочей группы принимаются большинством голосов присутствующих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 у  присутствующих на заседании членов рабочей группы особого мнения оно прилагается к протоколу и является его неотъемлемой частью.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членов рабочей группы  голос председательствующего на заседании является решающим.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Решения рабочей группы являются обязательными для их выполнения членами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Протокол заседания рабочей группы оформляется секретарем рабочей группы в течение пяти рабочих дней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рабочей группы, подписывается председателем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 протоколе заседания рабочей группы указываются: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заседания рабочей группы;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-номер протокола;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-принятое решение по каждому вопросу, рассмотренному на заседании рабочей группы; 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-итоги голосования по каждому вопросу, рассмотренному на заседании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К протоколу заседания рабочей группы должны быть приложены материалы, предоставленные на рассмотрение рабочей группы.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Организационно – техническое обеспечение деятельности рабочей группы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Организационно-техническое обеспечение деятельности рабочей группы осуществляет Администрация</w:t>
      </w:r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действует на постоянной основе, в составе согласно приложению №1 к настоящему постановлению.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BA2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BA25B4" w:rsidP="00BA25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4" w:rsidRDefault="00BA25B4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5B4" w:rsidRPr="008F0686" w:rsidRDefault="00BA25B4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F0686" w:rsidRPr="008F0686" w:rsidRDefault="008F0686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8F0686" w:rsidRPr="008F0686" w:rsidRDefault="00BA25B4" w:rsidP="008F0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 </w:t>
      </w:r>
      <w:r w:rsidR="008F0686"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</w:t>
      </w:r>
      <w:smartTag w:uri="urn:schemas-microsoft-com:office:smarttags" w:element="metricconverter">
        <w:smartTagPr>
          <w:attr w:name="ProductID" w:val="2019 г"/>
        </w:smartTagPr>
        <w:r w:rsidR="008F0686" w:rsidRPr="008F06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="008F0686"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0686" w:rsidRPr="008F0686" w:rsidRDefault="008F0686" w:rsidP="008F0686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F0686" w:rsidRPr="008F0686" w:rsidRDefault="008F0686" w:rsidP="008F068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1. Общие положения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F0686" w:rsidRPr="008F0686" w:rsidRDefault="008F0686" w:rsidP="008F0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0686" w:rsidRPr="008F0686" w:rsidRDefault="008F0686" w:rsidP="008F068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Перечень свободного имущества формируется в целях предоставления имущества, принадлежащего на праве собственности</w:t>
      </w:r>
      <w:r w:rsid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сельскому поселению </w:t>
      </w:r>
      <w:proofErr w:type="spellStart"/>
      <w:r w:rsid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муниципальному району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(далее - имущество), во владение и (или) пользование на долгосрочной основе субъектам малого и среднего предпринимательства и 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вносятся сведения о муниципальном  имуществе</w:t>
      </w:r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BA25B4" w:rsidRPr="00BA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8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подпунктами 1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9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1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19 пункта 8 статьи 39.11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Распоряжение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Формирование и ведение Перечня основывается на следующих основных принципах: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Перечень, а также решения о внесении изменений в Перечень утверждаются правовым актом Администрации</w:t>
      </w:r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Формирование и ведение Перечня осуществляется Администрацией</w:t>
      </w:r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BA25B4" w:rsidRPr="00BA25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Администрация</w:t>
      </w:r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течение 1 месяца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представленные предложения и выносит на рассмотрение  Межведомственной рабочей группы </w:t>
      </w:r>
      <w:r w:rsidRPr="008F0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2.7. настоящего Порядка, рабочей группой принимается одно из следующих решений: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нормативного правового акта Администрации</w:t>
      </w:r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 включении сведений об имуществе, в 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которого поступило предложение, в перечень;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нормативного правового акта Администрации</w:t>
      </w:r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об исключении  сведений об имуществе, в отношении которого поступило предложение, из перечня;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8F0686" w:rsidRPr="008F0686" w:rsidRDefault="008F0686" w:rsidP="008F06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после принятия Рабочей группой решения о внесении изменений в перечень Администрации</w:t>
      </w:r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принимает решение о внесении изменений в Перечень.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 малого бизнеса.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8F0686" w:rsidRPr="008F0686" w:rsidRDefault="008F0686" w:rsidP="008F0686">
      <w:pPr>
        <w:keepNext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Порядок формирования, ведения и опубликования Перечней</w:t>
      </w: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Порядок формирования, ведения и опубликования Перечня свободного имущества: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 В Перечень свободного имущества вносятся сведения об имуществе, соответствующем следующим критериям: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3.1.1.2. имущество не ограничено в обороте.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3.1.1.3. имущество не является объектом религиозного назначения.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3.1.1.4. имущество не является объектом незавершенного строительства.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3.1.1.5. В отношении  имущества не принято решение о предоставлении его третьим лицам.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3.1.1.6. имущество не включено в прогнозный план (программу) приватизации муниципального имущества</w:t>
      </w:r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3.1.1.7. имущество не признано аварийным в установленном порядке и подлежащим сносу или реконструкции.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3.1.1.9. земельный участок не относится к земельным участкам, предусмотренным подпунктами 1-10, 13-15, 18 и 19 пункта 8 статья 39.11 Земельного кодекса РФ, за исключением земельных участков, предоставленных в аренду МСП.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3.1.1.10. </w:t>
      </w:r>
      <w:proofErr w:type="gram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имущества, закрепленного на праве хозяйственного ведения или оперативного управления за муниципальным унитарным 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предприятием, на праве оперативного управления за муниципальным унитарным предприятием, 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</w:t>
      </w:r>
      <w:proofErr w:type="gram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соответствующим имуществом, на включение имущества в Перечень.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3.1.1.11.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</w:t>
      </w:r>
      <w:r w:rsidRPr="008F06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исключения муниципального имущества из Перечня свободного имущества: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3.1.2.1. В отношении имущества принято решение Администрации</w:t>
      </w:r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о его использовании для государственных (муниципальных) нужд либо для иных целей.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3.1.2.2. Право собственности</w:t>
      </w:r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на имущество в Перечнях прекращено по решению суда или в ином установленном законом порядке. 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3.1.2.3.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износа, аварийного состояния.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3.1.2.4. Имущество не соответствует критериям, указанным в пункте 3.1.1 настоящего Порядка.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3.1.4. Перечни свободного имущества и все внесенные в них изменения подлежат опубликованию на официальном сайте Администрации</w:t>
      </w:r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 в средствах массовой информации и в информационно-телекоммуникационной сети Интернет в течение 15 дней со дня утверждения.</w:t>
      </w:r>
    </w:p>
    <w:p w:rsidR="008F0686" w:rsidRPr="008F0686" w:rsidRDefault="008F0686" w:rsidP="008F06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года с даты включения имущества в Перечни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Гафурийскому</w:t>
      </w:r>
      <w:proofErr w:type="spell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предпринимательства, или осуществляет предоставление такого имущества по заявлению указанных лиц в случаях, предусмотренных 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8F06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2006 г</w:t>
        </w:r>
      </w:smartTag>
      <w:r w:rsidRPr="008F06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№135-ФЗ «О защите конкуренции» без проведения аукциона (конкурса).</w:t>
      </w:r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3.1.6.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» и в случаях, указанных в </w:t>
      </w:r>
      <w:hyperlink r:id="rId15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подпунктах 6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6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7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9 пункта 2 статьи 39.3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8F0686">
          <w:rPr>
            <w:rFonts w:ascii="Times New Roman" w:eastAsia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3.1.7.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31B9C" w:rsidRPr="00831B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1B9C" w:rsidRPr="00831B9C">
        <w:rPr>
          <w:rFonts w:ascii="Times New Roman" w:eastAsia="Times New Roman" w:hAnsi="Times New Roman" w:cs="Times New Roman"/>
          <w:sz w:val="28"/>
          <w:szCs w:val="28"/>
        </w:rPr>
        <w:t>Бурлинский</w:t>
      </w:r>
      <w:proofErr w:type="spellEnd"/>
      <w:r w:rsidR="00831B9C" w:rsidRPr="00831B9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F0686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район РБ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3.1.6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8F0686" w:rsidRPr="008F0686" w:rsidRDefault="008F0686" w:rsidP="008F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3.1.8. Срок, на который заключаются договоры в отношении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8F0686"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gramEnd"/>
      <w:r w:rsidRPr="008F068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F0686" w:rsidRPr="008F0686" w:rsidRDefault="008F0686" w:rsidP="008F0686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86" w:rsidRPr="008F0686" w:rsidRDefault="008F0686" w:rsidP="008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20" w:rsidRDefault="00FC2320"/>
    <w:sectPr w:rsidR="00FC2320" w:rsidSect="00B076EE">
      <w:pgSz w:w="11906" w:h="16838" w:code="9"/>
      <w:pgMar w:top="1135" w:right="849" w:bottom="993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49"/>
    <w:multiLevelType w:val="hybridMultilevel"/>
    <w:tmpl w:val="AEBE3FC2"/>
    <w:lvl w:ilvl="0" w:tplc="56D48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F"/>
    <w:rsid w:val="00087A0F"/>
    <w:rsid w:val="00831B9C"/>
    <w:rsid w:val="008F0686"/>
    <w:rsid w:val="00BA25B4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6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-burly.ru/" TargetMode="External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consultantplus://offline/ref=1F253B6D74663D216C706E96CAE2461B4C485F2CC7327566C8254E169EIB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2019-03-28T07:01:00Z</dcterms:created>
  <dcterms:modified xsi:type="dcterms:W3CDTF">2019-03-28T07:31:00Z</dcterms:modified>
</cp:coreProperties>
</file>