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A" w:rsidRDefault="0062675A" w:rsidP="0062675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БУРЛИНСКИЙ СЕЛЬСОВЕТ</w:t>
      </w:r>
    </w:p>
    <w:p w:rsidR="0062675A" w:rsidRDefault="0062675A" w:rsidP="0062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62675A" w:rsidRDefault="0062675A" w:rsidP="0062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2675A" w:rsidRDefault="0062675A" w:rsidP="0062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675A" w:rsidRDefault="0062675A" w:rsidP="006267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2675A" w:rsidRPr="008F7233" w:rsidRDefault="0062675A" w:rsidP="006267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2675A" w:rsidRDefault="0062675A" w:rsidP="00626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2675A" w:rsidRPr="008F7233" w:rsidRDefault="0062675A" w:rsidP="00626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2675A" w:rsidRPr="008F7233" w:rsidRDefault="0062675A" w:rsidP="0062675A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1F">
        <w:rPr>
          <w:rFonts w:ascii="Times New Roman" w:hAnsi="Times New Roman" w:cs="Times New Roman"/>
          <w:sz w:val="28"/>
          <w:szCs w:val="28"/>
        </w:rPr>
        <w:t>1.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8683463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0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84942009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bookmarkStart w:id="2" w:name="_Hlk8632740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4 602 300,0 </w:t>
      </w:r>
      <w:bookmarkEnd w:id="2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4 602 300,0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Pr="003920DB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86841897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3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сумме 0 рублей;</w:t>
      </w:r>
    </w:p>
    <w:p w:rsidR="0062675A" w:rsidRPr="003920DB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 источники финансирования дефицита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2022 год согласно приложению </w:t>
      </w:r>
      <w:r w:rsidRPr="003920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1F">
        <w:rPr>
          <w:rFonts w:ascii="Times New Roman" w:hAnsi="Times New Roman" w:cs="Times New Roman"/>
          <w:sz w:val="28"/>
          <w:szCs w:val="28"/>
        </w:rPr>
        <w:t>2.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основные характеристики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4 111 300,0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4 111 300,0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4 111 300,0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101 400,0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4 111 300,0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202 800,0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62675A" w:rsidRPr="003920DB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Pr="00704B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2023 год в сумме 0,00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2024 год в сумме 0,00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</w:t>
      </w:r>
      <w:r w:rsidRPr="00D40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плановый период 2023 и 2024 годов согласно приложению </w:t>
      </w:r>
      <w:r w:rsidRPr="003920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62675A" w:rsidRPr="008F7233" w:rsidRDefault="0062675A" w:rsidP="0062675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6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4.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D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D720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7B53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в пределах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E27D8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675A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3D75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ведомственную структуру расходов бюджета</w:t>
      </w:r>
      <w:r w:rsidRPr="000C4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6B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Pr="00E27D8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675A" w:rsidRPr="00191C71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A2F51">
        <w:rPr>
          <w:rFonts w:ascii="Times New Roman" w:hAnsi="Times New Roman" w:cs="Times New Roman"/>
          <w:sz w:val="28"/>
          <w:szCs w:val="28"/>
        </w:rPr>
        <w:t>7</w:t>
      </w:r>
      <w:r w:rsidRPr="00C73D75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675A" w:rsidRPr="008F7233" w:rsidRDefault="0062675A" w:rsidP="0062675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037A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утвержденных в бюджете </w:t>
      </w:r>
      <w:bookmarkStart w:id="4" w:name="_Hlk87268357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</w:t>
      </w:r>
      <w:bookmarkStart w:id="5" w:name="_Hlk87285962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5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62675A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037A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P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 размер резервного фонда 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2021 год в сумме 10 000,0 рублей, на 2022 год в сумме 10 000,0 рублей, на 2023 год в сумме 10 000,0 рублей.</w:t>
      </w:r>
    </w:p>
    <w:p w:rsidR="0062675A" w:rsidRPr="00833EB2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664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P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bookmarkStart w:id="6" w:name="_Hlk85013722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6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2022–2024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органов местного самоуправления</w:t>
      </w:r>
      <w:r w:rsidRPr="00997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675A" w:rsidRPr="00367789" w:rsidRDefault="0062675A" w:rsidP="0062675A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7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7789">
        <w:rPr>
          <w:rFonts w:ascii="Times New Roman" w:hAnsi="Times New Roman" w:cs="Times New Roman"/>
          <w:sz w:val="28"/>
          <w:szCs w:val="28"/>
        </w:rPr>
        <w:t>.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2022–2024 годах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соответствии с пунктами 2, 7 статьи 78 Бюджетного кодекса Российской Федерации, предоставляются субсидии (гранты в форме субсидий):</w:t>
      </w:r>
    </w:p>
    <w:p w:rsidR="0062675A" w:rsidRPr="00D64B2B" w:rsidRDefault="0062675A" w:rsidP="0062675A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Pr="00D64B2B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052EE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ным гарантиям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 рублей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14.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порядке, задолженность перед бюджетом</w:t>
      </w:r>
      <w:r w:rsidRPr="005A4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организаций всех организационно-правовых форм по средствам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предоставленным на возвратной основе, процентам за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  <w:proofErr w:type="gramEnd"/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15.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62675A" w:rsidRPr="008F7233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не более одной двенадцатой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62675A" w:rsidRPr="004F77CF" w:rsidRDefault="0062675A" w:rsidP="0062675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7CF">
        <w:rPr>
          <w:rFonts w:ascii="Times New Roman" w:hAnsi="Times New Roman" w:cs="Times New Roman"/>
          <w:b w:val="0"/>
          <w:bCs w:val="0"/>
          <w:sz w:val="28"/>
          <w:szCs w:val="28"/>
        </w:rPr>
        <w:t>2) не превышающем сумму остатка неиспользованных бюджетных ассигнований направляются в 2022 году на увеличение бюджетных ассигнований 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году.</w:t>
      </w:r>
    </w:p>
    <w:p w:rsidR="0062675A" w:rsidRPr="008F7233" w:rsidRDefault="0062675A" w:rsidP="0062675A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2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24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C3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распределение зарезервированных в составе утвержденных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2675A" w:rsidRPr="008F7233" w:rsidRDefault="0062675A" w:rsidP="0062675A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«Резервные фонды» раздела «Общегосударственные вопросы» классификации расходов бюджетов;</w:t>
      </w:r>
    </w:p>
    <w:p w:rsidR="0062675A" w:rsidRPr="00941B35" w:rsidRDefault="0062675A" w:rsidP="0062675A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бюджетных инвестиций в объекты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собственности сельского поселения, бюджетные инвестиции в которые осуществляются из местных бюджетов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5A" w:rsidRPr="00941B35" w:rsidRDefault="0062675A" w:rsidP="0062675A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17.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2675A" w:rsidRPr="003920DB" w:rsidRDefault="0062675A" w:rsidP="0062675A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9057B">
        <w:rPr>
          <w:rFonts w:ascii="Times New Roman" w:hAnsi="Times New Roman" w:cs="Times New Roman"/>
          <w:sz w:val="28"/>
          <w:szCs w:val="28"/>
        </w:rPr>
        <w:t>.</w:t>
      </w:r>
      <w:r w:rsidRPr="002905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подлежит официальному опубликованию не позднее 10 дней после его подписания в установленном порядке.</w:t>
      </w:r>
    </w:p>
    <w:p w:rsidR="0062675A" w:rsidRDefault="0062675A" w:rsidP="0062675A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</w:p>
    <w:p w:rsidR="0062675A" w:rsidRDefault="0062675A" w:rsidP="0062675A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2675A" w:rsidRDefault="0062675A" w:rsidP="0062675A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675A" w:rsidRDefault="0062675A" w:rsidP="0062675A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675A" w:rsidRDefault="0062675A" w:rsidP="0062675A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2675A" w:rsidRDefault="0062675A" w:rsidP="0062675A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А.К.)</w:t>
      </w:r>
    </w:p>
    <w:p w:rsidR="0062675A" w:rsidRDefault="0062675A" w:rsidP="0062675A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62675A" w:rsidRDefault="0062675A" w:rsidP="0062675A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Бурлы</w:t>
      </w:r>
    </w:p>
    <w:p w:rsidR="0062675A" w:rsidRDefault="0062675A" w:rsidP="0062675A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2021 г.</w:t>
      </w:r>
    </w:p>
    <w:p w:rsidR="0062675A" w:rsidRDefault="0062675A" w:rsidP="0062675A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49-176</w:t>
      </w:r>
    </w:p>
    <w:p w:rsidR="00034BBD" w:rsidRDefault="00034BBD"/>
    <w:p w:rsidR="0062675A" w:rsidRDefault="0062675A"/>
    <w:p w:rsidR="0062675A" w:rsidRDefault="0062675A"/>
    <w:p w:rsidR="0062675A" w:rsidRPr="008617A2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2675A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2675A" w:rsidRPr="008617A2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2675A" w:rsidRPr="008617A2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2675A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P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2675A" w:rsidRPr="008617A2" w:rsidRDefault="0062675A" w:rsidP="006267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2675A" w:rsidRPr="008617A2" w:rsidRDefault="0062675A" w:rsidP="006267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2675A" w:rsidRPr="008617A2" w:rsidRDefault="0062675A" w:rsidP="006267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62675A" w:rsidRPr="008617A2" w:rsidRDefault="0062675A" w:rsidP="0062675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 49-176 от 24.12.2021 г</w:t>
      </w:r>
    </w:p>
    <w:p w:rsidR="0062675A" w:rsidRDefault="0062675A" w:rsidP="0062675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5A" w:rsidRPr="008617A2" w:rsidRDefault="0062675A" w:rsidP="0062675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5A" w:rsidRPr="008617A2" w:rsidRDefault="0062675A" w:rsidP="0062675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5A" w:rsidRPr="008617A2" w:rsidRDefault="0062675A" w:rsidP="0062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2675A" w:rsidRPr="008617A2" w:rsidRDefault="0062675A" w:rsidP="0062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62675A" w:rsidRPr="008617A2" w:rsidRDefault="0062675A" w:rsidP="0062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675A" w:rsidRPr="008617A2" w:rsidRDefault="0062675A" w:rsidP="0062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5A" w:rsidRPr="008617A2" w:rsidRDefault="0062675A" w:rsidP="0062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04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4735"/>
        <w:gridCol w:w="1694"/>
      </w:tblGrid>
      <w:tr w:rsidR="0062675A" w:rsidRPr="008617A2" w:rsidTr="007C6554">
        <w:trPr>
          <w:trHeight w:val="720"/>
        </w:trPr>
        <w:tc>
          <w:tcPr>
            <w:tcW w:w="4020" w:type="dxa"/>
            <w:vAlign w:val="center"/>
          </w:tcPr>
          <w:p w:rsidR="0062675A" w:rsidRPr="008617A2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35" w:type="dxa"/>
            <w:vAlign w:val="center"/>
          </w:tcPr>
          <w:p w:rsidR="0062675A" w:rsidRPr="008617A2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</w:t>
            </w:r>
          </w:p>
          <w:p w:rsidR="0062675A" w:rsidRPr="008617A2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</w:p>
        </w:tc>
        <w:tc>
          <w:tcPr>
            <w:tcW w:w="1694" w:type="dxa"/>
            <w:vAlign w:val="center"/>
          </w:tcPr>
          <w:p w:rsidR="0062675A" w:rsidRPr="008617A2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62675A" w:rsidRPr="008617A2" w:rsidTr="007C6554">
        <w:trPr>
          <w:trHeight w:val="1256"/>
        </w:trPr>
        <w:tc>
          <w:tcPr>
            <w:tcW w:w="4020" w:type="dxa"/>
          </w:tcPr>
          <w:p w:rsidR="0062675A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75A" w:rsidRPr="008617A2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4735" w:type="dxa"/>
          </w:tcPr>
          <w:p w:rsidR="0062675A" w:rsidRPr="008617A2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94" w:type="dxa"/>
            <w:vAlign w:val="center"/>
          </w:tcPr>
          <w:p w:rsidR="0062675A" w:rsidRPr="008617A2" w:rsidRDefault="0062675A" w:rsidP="007C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2675A" w:rsidRPr="008617A2" w:rsidTr="007C6554">
        <w:trPr>
          <w:trHeight w:val="985"/>
        </w:trPr>
        <w:tc>
          <w:tcPr>
            <w:tcW w:w="4020" w:type="dxa"/>
            <w:vAlign w:val="center"/>
          </w:tcPr>
          <w:p w:rsidR="0062675A" w:rsidRPr="008617A2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 000</w:t>
            </w:r>
          </w:p>
        </w:tc>
        <w:tc>
          <w:tcPr>
            <w:tcW w:w="4735" w:type="dxa"/>
            <w:vAlign w:val="center"/>
          </w:tcPr>
          <w:p w:rsidR="0062675A" w:rsidRPr="008617A2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</w:t>
            </w:r>
          </w:p>
          <w:p w:rsidR="0062675A" w:rsidRPr="008617A2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на счетах </w:t>
            </w:r>
            <w:proofErr w:type="gramStart"/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2675A" w:rsidRPr="008617A2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бюджета</w:t>
            </w:r>
          </w:p>
        </w:tc>
        <w:tc>
          <w:tcPr>
            <w:tcW w:w="1694" w:type="dxa"/>
            <w:vAlign w:val="center"/>
          </w:tcPr>
          <w:p w:rsidR="0062675A" w:rsidRPr="008617A2" w:rsidRDefault="0062675A" w:rsidP="007C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62675A" w:rsidRDefault="0062675A" w:rsidP="0062675A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5A" w:rsidRDefault="0062675A" w:rsidP="0062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675A" w:rsidRDefault="0062675A" w:rsidP="0062675A">
      <w:pPr>
        <w:pStyle w:val="ConsPlusNormal"/>
        <w:widowControl/>
        <w:spacing w:line="240" w:lineRule="atLeast"/>
        <w:ind w:firstLine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2675A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2675A" w:rsidRPr="008617A2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2675A" w:rsidRPr="008617A2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2675A" w:rsidRDefault="0062675A" w:rsidP="0062675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P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2675A" w:rsidRPr="008617A2" w:rsidRDefault="0062675A" w:rsidP="006267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2675A" w:rsidRPr="008617A2" w:rsidRDefault="0062675A" w:rsidP="006267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2675A" w:rsidRPr="008617A2" w:rsidRDefault="0062675A" w:rsidP="006267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62675A" w:rsidRDefault="0062675A" w:rsidP="0062675A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49-176 от 24.12.2021 г.</w:t>
      </w:r>
    </w:p>
    <w:p w:rsidR="0062675A" w:rsidRDefault="0062675A" w:rsidP="0062675A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5A" w:rsidRDefault="0062675A" w:rsidP="0062675A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5A" w:rsidRDefault="0062675A" w:rsidP="0062675A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5A" w:rsidRDefault="0062675A" w:rsidP="0062675A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5A" w:rsidRPr="009E57DC" w:rsidRDefault="0062675A" w:rsidP="0062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2675A" w:rsidRPr="009E57DC" w:rsidRDefault="0062675A" w:rsidP="0062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62675A" w:rsidRPr="009E57DC" w:rsidRDefault="0062675A" w:rsidP="0062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на плановый период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2675A" w:rsidRPr="009E57DC" w:rsidRDefault="0062675A" w:rsidP="006267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75A" w:rsidRPr="009E57DC" w:rsidRDefault="0062675A" w:rsidP="0062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4252"/>
        <w:gridCol w:w="1365"/>
        <w:gridCol w:w="1470"/>
      </w:tblGrid>
      <w:tr w:rsidR="0062675A" w:rsidRPr="009E57DC" w:rsidTr="007C6554">
        <w:tc>
          <w:tcPr>
            <w:tcW w:w="3545" w:type="dxa"/>
            <w:vMerge w:val="restart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кода </w:t>
            </w:r>
          </w:p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</w:p>
        </w:tc>
        <w:tc>
          <w:tcPr>
            <w:tcW w:w="2835" w:type="dxa"/>
            <w:gridSpan w:val="2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675A" w:rsidRPr="009E57DC" w:rsidTr="007C6554">
        <w:tc>
          <w:tcPr>
            <w:tcW w:w="3545" w:type="dxa"/>
            <w:vMerge/>
          </w:tcPr>
          <w:p w:rsidR="0062675A" w:rsidRPr="009E57DC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</w:tcPr>
          <w:p w:rsidR="0062675A" w:rsidRPr="009E57DC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0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675A" w:rsidRPr="009E57DC" w:rsidTr="007C6554">
        <w:tc>
          <w:tcPr>
            <w:tcW w:w="3545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4252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65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70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2675A" w:rsidRPr="009E57DC" w:rsidTr="007C6554">
        <w:tc>
          <w:tcPr>
            <w:tcW w:w="3545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 000</w:t>
            </w:r>
          </w:p>
        </w:tc>
        <w:tc>
          <w:tcPr>
            <w:tcW w:w="4252" w:type="dxa"/>
            <w:vAlign w:val="center"/>
          </w:tcPr>
          <w:p w:rsidR="0062675A" w:rsidRPr="008617A2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</w:t>
            </w:r>
          </w:p>
          <w:p w:rsidR="0062675A" w:rsidRPr="008617A2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на счетах </w:t>
            </w:r>
            <w:proofErr w:type="gramStart"/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2675A" w:rsidRPr="009E57DC" w:rsidRDefault="0062675A" w:rsidP="007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бюджета</w:t>
            </w:r>
          </w:p>
        </w:tc>
        <w:tc>
          <w:tcPr>
            <w:tcW w:w="1365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70" w:type="dxa"/>
            <w:vAlign w:val="center"/>
          </w:tcPr>
          <w:p w:rsidR="0062675A" w:rsidRPr="009E57DC" w:rsidRDefault="0062675A" w:rsidP="007C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62675A" w:rsidRPr="00E17039" w:rsidRDefault="0062675A" w:rsidP="0062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5A" w:rsidRDefault="0062675A" w:rsidP="0062675A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75A" w:rsidRDefault="0062675A"/>
    <w:p w:rsidR="0062675A" w:rsidRDefault="0062675A"/>
    <w:p w:rsidR="0062675A" w:rsidRDefault="0062675A"/>
    <w:p w:rsidR="0062675A" w:rsidRDefault="0062675A"/>
    <w:p w:rsidR="0062675A" w:rsidRDefault="0062675A"/>
    <w:p w:rsidR="0062675A" w:rsidRDefault="0062675A"/>
    <w:p w:rsidR="0062675A" w:rsidRDefault="0062675A"/>
    <w:p w:rsidR="0062675A" w:rsidRDefault="0062675A"/>
    <w:p w:rsidR="0062675A" w:rsidRDefault="0062675A"/>
    <w:p w:rsidR="0062675A" w:rsidRDefault="0062675A"/>
    <w:p w:rsidR="0062675A" w:rsidRDefault="0062675A"/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3388"/>
        <w:gridCol w:w="23326"/>
        <w:gridCol w:w="4981"/>
      </w:tblGrid>
      <w:tr w:rsidR="0062675A" w:rsidRPr="0062675A" w:rsidTr="0062675A">
        <w:trPr>
          <w:trHeight w:val="375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75A" w:rsidRPr="0062675A" w:rsidRDefault="0062675A" w:rsidP="0062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75A" w:rsidRPr="0062675A" w:rsidRDefault="0062675A" w:rsidP="0062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75A" w:rsidRPr="0062675A" w:rsidRDefault="0062675A" w:rsidP="0062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62675A" w:rsidRPr="0062675A" w:rsidTr="0062675A">
        <w:trPr>
          <w:trHeight w:val="375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75A" w:rsidRPr="0062675A" w:rsidRDefault="0062675A" w:rsidP="0062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75A" w:rsidRPr="0062675A" w:rsidRDefault="0062675A" w:rsidP="0062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75A" w:rsidRPr="0062675A" w:rsidRDefault="0062675A" w:rsidP="0062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сельского поселения 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177"/>
        <w:gridCol w:w="1336"/>
      </w:tblGrid>
      <w:tr w:rsidR="0062675A" w:rsidRPr="0062675A" w:rsidTr="007C6554">
        <w:trPr>
          <w:trHeight w:val="2824"/>
        </w:trPr>
        <w:tc>
          <w:tcPr>
            <w:tcW w:w="9322" w:type="dxa"/>
            <w:gridSpan w:val="3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                                                                                  Приложение 3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 к решению Совета сельского поселения 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  <w:proofErr w:type="spellStart"/>
            <w:r w:rsidRPr="0062675A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62675A">
              <w:rPr>
                <w:rFonts w:ascii="Times New Roman" w:eastAsiaTheme="minorHAnsi" w:hAnsi="Times New Roman" w:cs="Times New Roman"/>
              </w:rPr>
              <w:t xml:space="preserve"> сельсовет муниципального района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  <w:proofErr w:type="spellStart"/>
            <w:r w:rsidRPr="0062675A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62675A">
              <w:rPr>
                <w:rFonts w:ascii="Times New Roman" w:eastAsiaTheme="minorHAnsi" w:hAnsi="Times New Roman" w:cs="Times New Roman"/>
              </w:rPr>
              <w:t xml:space="preserve"> район Республики Башкортостан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 "О бюджете сельского поселения </w:t>
            </w:r>
            <w:proofErr w:type="spellStart"/>
            <w:r w:rsidRPr="0062675A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62675A">
              <w:rPr>
                <w:rFonts w:ascii="Times New Roman" w:eastAsiaTheme="minorHAnsi" w:hAnsi="Times New Roman" w:cs="Times New Roman"/>
              </w:rPr>
              <w:t xml:space="preserve"> сельсовет 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 муниципального района </w:t>
            </w:r>
            <w:proofErr w:type="spellStart"/>
            <w:r w:rsidRPr="0062675A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62675A">
              <w:rPr>
                <w:rFonts w:ascii="Times New Roman" w:eastAsiaTheme="minorHAnsi" w:hAnsi="Times New Roman" w:cs="Times New Roman"/>
              </w:rPr>
              <w:t xml:space="preserve"> район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  Республики Башкортостан на 2022 год и </w:t>
            </w:r>
            <w:proofErr w:type="gramStart"/>
            <w:r w:rsidRPr="0062675A">
              <w:rPr>
                <w:rFonts w:ascii="Times New Roman" w:eastAsiaTheme="minorHAnsi" w:hAnsi="Times New Roman" w:cs="Times New Roman"/>
              </w:rPr>
              <w:t>на</w:t>
            </w:r>
            <w:proofErr w:type="gramEnd"/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плановый период 2023 и 2024 годов"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№ 49-176  от 24.12.2021 г.</w:t>
            </w:r>
          </w:p>
          <w:p w:rsidR="0062675A" w:rsidRPr="0062675A" w:rsidRDefault="0062675A" w:rsidP="0062675A">
            <w:pPr>
              <w:jc w:val="right"/>
              <w:rPr>
                <w:rFonts w:ascii="Times New Roman" w:eastAsiaTheme="minorHAnsi" w:hAnsi="Times New Roman" w:cs="Times New Roman"/>
              </w:rPr>
            </w:pPr>
          </w:p>
        </w:tc>
      </w:tr>
      <w:tr w:rsidR="0062675A" w:rsidRPr="0062675A" w:rsidTr="007C6554">
        <w:trPr>
          <w:trHeight w:val="1307"/>
        </w:trPr>
        <w:tc>
          <w:tcPr>
            <w:tcW w:w="9322" w:type="dxa"/>
            <w:gridSpan w:val="3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</w:p>
          <w:p w:rsidR="0062675A" w:rsidRPr="0062675A" w:rsidRDefault="0062675A" w:rsidP="006267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Поступление доходов</w:t>
            </w:r>
          </w:p>
          <w:p w:rsidR="0062675A" w:rsidRPr="0062675A" w:rsidRDefault="0062675A" w:rsidP="006267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в бюджет сельского поселения </w:t>
            </w:r>
            <w:proofErr w:type="spellStart"/>
            <w:r w:rsidRPr="0062675A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62675A">
              <w:rPr>
                <w:rFonts w:ascii="Times New Roman" w:eastAsiaTheme="minorHAnsi" w:hAnsi="Times New Roman" w:cs="Times New Roman"/>
              </w:rPr>
              <w:t xml:space="preserve"> сельсовет</w:t>
            </w:r>
          </w:p>
          <w:p w:rsidR="0062675A" w:rsidRPr="0062675A" w:rsidRDefault="0062675A" w:rsidP="006267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муниципального района </w:t>
            </w:r>
            <w:proofErr w:type="spellStart"/>
            <w:r w:rsidRPr="0062675A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62675A">
              <w:rPr>
                <w:rFonts w:ascii="Times New Roman" w:eastAsiaTheme="minorHAnsi" w:hAnsi="Times New Roman" w:cs="Times New Roman"/>
              </w:rPr>
              <w:t xml:space="preserve"> район Республики Башкортостан на 2022 год</w:t>
            </w:r>
          </w:p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62675A" w:rsidRPr="0062675A" w:rsidTr="007C6554">
        <w:trPr>
          <w:trHeight w:val="375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6177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(в рублях)</w:t>
            </w:r>
          </w:p>
        </w:tc>
      </w:tr>
      <w:tr w:rsidR="0062675A" w:rsidRPr="0062675A" w:rsidTr="007C6554">
        <w:trPr>
          <w:trHeight w:val="99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Код вида, подвида доходов бюджета</w:t>
            </w:r>
          </w:p>
        </w:tc>
        <w:tc>
          <w:tcPr>
            <w:tcW w:w="6177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Сумма</w:t>
            </w:r>
          </w:p>
        </w:tc>
      </w:tr>
      <w:tr w:rsidR="0062675A" w:rsidRPr="0062675A" w:rsidTr="007C6554">
        <w:trPr>
          <w:trHeight w:val="375"/>
        </w:trPr>
        <w:tc>
          <w:tcPr>
            <w:tcW w:w="1809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3</w:t>
            </w:r>
          </w:p>
        </w:tc>
      </w:tr>
      <w:tr w:rsidR="0062675A" w:rsidRPr="0062675A" w:rsidTr="007C6554">
        <w:trPr>
          <w:trHeight w:val="375"/>
        </w:trPr>
        <w:tc>
          <w:tcPr>
            <w:tcW w:w="1809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4 602 300,00</w:t>
            </w:r>
          </w:p>
        </w:tc>
      </w:tr>
      <w:tr w:rsidR="0062675A" w:rsidRPr="0062675A" w:rsidTr="007C6554">
        <w:trPr>
          <w:trHeight w:val="45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1 00 00 000 00 0000 000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НАЛОГОВЫЕ И НЕНАЛОГОВЫЕ ДОХОДЫ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710 000,00</w:t>
            </w:r>
          </w:p>
        </w:tc>
      </w:tr>
      <w:tr w:rsidR="0062675A" w:rsidRPr="0062675A" w:rsidTr="007C6554">
        <w:trPr>
          <w:trHeight w:val="405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1 01 00 000 00 0000 000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НАЛОГИ НА ПРИБЫЛЬ, ДОХОДЫ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70 000,00</w:t>
            </w:r>
          </w:p>
        </w:tc>
      </w:tr>
      <w:tr w:rsidR="0062675A" w:rsidRPr="0062675A" w:rsidTr="007C6554">
        <w:trPr>
          <w:trHeight w:val="48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1 01 02 000 01 0000 110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Налог на доходы физических лиц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70 000,00</w:t>
            </w:r>
          </w:p>
        </w:tc>
      </w:tr>
      <w:tr w:rsidR="0062675A" w:rsidRPr="0062675A" w:rsidTr="007C6554">
        <w:trPr>
          <w:trHeight w:val="153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1 01 02 010 01 0000 110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70 000,00</w:t>
            </w:r>
          </w:p>
        </w:tc>
      </w:tr>
      <w:tr w:rsidR="0062675A" w:rsidRPr="0062675A" w:rsidTr="007C6554">
        <w:trPr>
          <w:trHeight w:val="525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1 06 00 000 00 0000 000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НАЛОГИ НА ИМУЩЕСТВО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633 000,00</w:t>
            </w:r>
          </w:p>
        </w:tc>
      </w:tr>
      <w:tr w:rsidR="0062675A" w:rsidRPr="0062675A" w:rsidTr="007C6554">
        <w:trPr>
          <w:trHeight w:val="495"/>
        </w:trPr>
        <w:tc>
          <w:tcPr>
            <w:tcW w:w="1809" w:type="dxa"/>
            <w:noWrap/>
            <w:hideMark/>
          </w:tcPr>
          <w:p w:rsidR="0062675A" w:rsidRPr="00A62A12" w:rsidRDefault="00A62A12" w:rsidP="0062675A">
            <w:pPr>
              <w:rPr>
                <w:rFonts w:ascii="Times New Roman" w:eastAsiaTheme="minorHAnsi" w:hAnsi="Times New Roman" w:cs="Times New Roman"/>
              </w:rPr>
            </w:pPr>
            <w:r w:rsidRPr="00A62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1 06 01 </w:t>
            </w:r>
            <w:r w:rsidRPr="00A62A12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030 10 0000 110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Налог на имущество физических лиц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43 000,00</w:t>
            </w:r>
          </w:p>
        </w:tc>
      </w:tr>
      <w:tr w:rsidR="0062675A" w:rsidRPr="0062675A" w:rsidTr="007C6554">
        <w:trPr>
          <w:trHeight w:val="885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1 06 01 010 02 0000 110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43 000,00</w:t>
            </w:r>
          </w:p>
        </w:tc>
      </w:tr>
      <w:tr w:rsidR="0062675A" w:rsidRPr="0062675A" w:rsidTr="007C6554">
        <w:trPr>
          <w:trHeight w:val="57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1 06 06 000 00 0000 110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Земельный налог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590 000,00</w:t>
            </w:r>
          </w:p>
        </w:tc>
      </w:tr>
      <w:tr w:rsidR="0062675A" w:rsidRPr="0062675A" w:rsidTr="007C6554">
        <w:trPr>
          <w:trHeight w:val="75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1 06 06 030 00 0000 110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Земельный налог с организаций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60 000,00</w:t>
            </w:r>
          </w:p>
        </w:tc>
      </w:tr>
      <w:tr w:rsidR="0062675A" w:rsidRPr="0062675A" w:rsidTr="007C6554">
        <w:trPr>
          <w:trHeight w:val="75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1 06 06 033 10 0000 110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60 000,00</w:t>
            </w:r>
          </w:p>
        </w:tc>
      </w:tr>
      <w:tr w:rsidR="0062675A" w:rsidRPr="0062675A" w:rsidTr="007C6554">
        <w:trPr>
          <w:trHeight w:val="75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1 06 06 040 00 0000 110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Земельный налог с физических лиц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530 000,00</w:t>
            </w:r>
          </w:p>
        </w:tc>
      </w:tr>
      <w:tr w:rsidR="0062675A" w:rsidRPr="0062675A" w:rsidTr="007C6554">
        <w:trPr>
          <w:trHeight w:val="75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lastRenderedPageBreak/>
              <w:t>1 06 06 043 10 0000 110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530 000,00</w:t>
            </w:r>
          </w:p>
        </w:tc>
      </w:tr>
      <w:tr w:rsidR="0062675A" w:rsidRPr="0062675A" w:rsidTr="007C6554">
        <w:trPr>
          <w:trHeight w:val="75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1 08 00 000 00 0000 000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ГОСУДАРСТВЕННАЯ ПОШЛИНА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7 000,00</w:t>
            </w:r>
          </w:p>
        </w:tc>
      </w:tr>
      <w:tr w:rsidR="0062675A" w:rsidRPr="0062675A" w:rsidTr="007C6554">
        <w:trPr>
          <w:trHeight w:val="75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1 08 04 000 01 0000 110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7 000,00</w:t>
            </w:r>
          </w:p>
        </w:tc>
      </w:tr>
      <w:tr w:rsidR="0062675A" w:rsidRPr="0062675A" w:rsidTr="007C6554">
        <w:trPr>
          <w:trHeight w:val="75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1 08 04 020 01 0000 110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6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7 000,00</w:t>
            </w:r>
          </w:p>
        </w:tc>
      </w:tr>
      <w:tr w:rsidR="0062675A" w:rsidRPr="0062675A" w:rsidTr="007C6554">
        <w:trPr>
          <w:trHeight w:val="51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2 00 00 000 00 0000 000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БЕЗВОЗМЕЗДНЫЕ ПОСТУПЛЕНИЯ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3 892 300,00 </w:t>
            </w:r>
          </w:p>
        </w:tc>
      </w:tr>
      <w:tr w:rsidR="0062675A" w:rsidRPr="0062675A" w:rsidTr="007C6554">
        <w:trPr>
          <w:trHeight w:val="81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2 02 00 000 00 0000 000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3 892 300,00 </w:t>
            </w:r>
          </w:p>
        </w:tc>
      </w:tr>
      <w:tr w:rsidR="0062675A" w:rsidRPr="0062675A" w:rsidTr="007C6554">
        <w:trPr>
          <w:trHeight w:val="63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2 02 10 000 00 0000 150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3 337 100,00 </w:t>
            </w:r>
          </w:p>
        </w:tc>
      </w:tr>
      <w:tr w:rsidR="0062675A" w:rsidRPr="0062675A" w:rsidTr="007C6554">
        <w:trPr>
          <w:trHeight w:val="90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2 02 16 001 00 0000 150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3 337 100,00 </w:t>
            </w:r>
          </w:p>
        </w:tc>
      </w:tr>
      <w:tr w:rsidR="0062675A" w:rsidRPr="0062675A" w:rsidTr="007C6554">
        <w:trPr>
          <w:trHeight w:val="855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2 02 16 001 10 0000 150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3 337 100,00 </w:t>
            </w:r>
          </w:p>
        </w:tc>
      </w:tr>
      <w:tr w:rsidR="0062675A" w:rsidRPr="0062675A" w:rsidTr="007C6554">
        <w:trPr>
          <w:trHeight w:val="87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2 02 30 000 00 0000 150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62675A" w:rsidRPr="0062675A" w:rsidTr="007C6554">
        <w:trPr>
          <w:trHeight w:val="90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2 02 35 118 10 0000 150</w:t>
            </w:r>
          </w:p>
        </w:tc>
        <w:tc>
          <w:tcPr>
            <w:tcW w:w="6177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62675A" w:rsidRPr="0062675A" w:rsidTr="007C6554">
        <w:trPr>
          <w:trHeight w:val="1020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2 02 40 000 00 0000 150</w:t>
            </w:r>
          </w:p>
        </w:tc>
        <w:tc>
          <w:tcPr>
            <w:tcW w:w="6177" w:type="dxa"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Иные межбюджетные трансферты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500 000,00 </w:t>
            </w:r>
          </w:p>
        </w:tc>
      </w:tr>
      <w:tr w:rsidR="0062675A" w:rsidRPr="0062675A" w:rsidTr="007C6554">
        <w:trPr>
          <w:trHeight w:val="1605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2 02 49 999 10 7404 150</w:t>
            </w:r>
          </w:p>
        </w:tc>
        <w:tc>
          <w:tcPr>
            <w:tcW w:w="6177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 xml:space="preserve">500 000,00 </w:t>
            </w:r>
          </w:p>
        </w:tc>
      </w:tr>
      <w:tr w:rsidR="0062675A" w:rsidRPr="0062675A" w:rsidTr="007C6554">
        <w:trPr>
          <w:trHeight w:val="375"/>
        </w:trPr>
        <w:tc>
          <w:tcPr>
            <w:tcW w:w="1809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6177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62675A" w:rsidRPr="0062675A" w:rsidRDefault="0062675A" w:rsidP="0062675A">
            <w:pPr>
              <w:rPr>
                <w:rFonts w:ascii="Times New Roman" w:eastAsiaTheme="minorHAnsi" w:hAnsi="Times New Roman" w:cs="Times New Roman"/>
              </w:rPr>
            </w:pPr>
            <w:r w:rsidRPr="0062675A">
              <w:rPr>
                <w:rFonts w:ascii="Times New Roman" w:eastAsiaTheme="minorHAnsi" w:hAnsi="Times New Roman" w:cs="Times New Roman"/>
              </w:rPr>
              <w:t> </w:t>
            </w:r>
          </w:p>
        </w:tc>
      </w:tr>
    </w:tbl>
    <w:p w:rsidR="0062675A" w:rsidRPr="0062675A" w:rsidRDefault="0062675A" w:rsidP="0062675A">
      <w:pPr>
        <w:rPr>
          <w:rFonts w:ascii="Times New Roman" w:eastAsiaTheme="minorHAnsi" w:hAnsi="Times New Roman" w:cs="Times New Roman"/>
        </w:rPr>
      </w:pPr>
    </w:p>
    <w:p w:rsidR="0062675A" w:rsidRDefault="0062675A">
      <w:pPr>
        <w:rPr>
          <w:rFonts w:ascii="Times New Roman" w:hAnsi="Times New Roman" w:cs="Times New Roman"/>
        </w:rPr>
      </w:pPr>
    </w:p>
    <w:p w:rsidR="0062675A" w:rsidRDefault="0062675A">
      <w:pPr>
        <w:rPr>
          <w:rFonts w:ascii="Times New Roman" w:hAnsi="Times New Roman" w:cs="Times New Roman"/>
        </w:rPr>
      </w:pPr>
    </w:p>
    <w:p w:rsidR="0062675A" w:rsidRDefault="0062675A">
      <w:pPr>
        <w:rPr>
          <w:rFonts w:ascii="Times New Roman" w:hAnsi="Times New Roman" w:cs="Times New Roman"/>
        </w:rPr>
      </w:pPr>
    </w:p>
    <w:p w:rsidR="0062675A" w:rsidRDefault="0062675A">
      <w:pPr>
        <w:rPr>
          <w:rFonts w:ascii="Times New Roman" w:hAnsi="Times New Roman" w:cs="Times New Roman"/>
        </w:rPr>
      </w:pPr>
    </w:p>
    <w:p w:rsidR="0062675A" w:rsidRDefault="0062675A">
      <w:pPr>
        <w:rPr>
          <w:rFonts w:ascii="Times New Roman" w:hAnsi="Times New Roman" w:cs="Times New Roman"/>
        </w:rPr>
      </w:pPr>
    </w:p>
    <w:p w:rsidR="0062675A" w:rsidRDefault="0062675A">
      <w:pPr>
        <w:rPr>
          <w:rFonts w:ascii="Times New Roman" w:hAnsi="Times New Roman" w:cs="Times New Roman"/>
        </w:rPr>
      </w:pPr>
    </w:p>
    <w:p w:rsidR="0062675A" w:rsidRDefault="0062675A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9"/>
        <w:gridCol w:w="5177"/>
        <w:gridCol w:w="860"/>
        <w:gridCol w:w="2075"/>
      </w:tblGrid>
      <w:tr w:rsidR="00D652FB" w:rsidRPr="00D652FB" w:rsidTr="007C6554">
        <w:trPr>
          <w:trHeight w:val="2967"/>
        </w:trPr>
        <w:tc>
          <w:tcPr>
            <w:tcW w:w="9571" w:type="dxa"/>
            <w:gridSpan w:val="4"/>
            <w:noWrap/>
            <w:hideMark/>
          </w:tcPr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 Приложение 4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 к решению Совета сельского поселения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 муниципального района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 "О бюджете сельского поселения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 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 Республики Башкортостан на 2022 год и 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на</w:t>
            </w:r>
            <w:proofErr w:type="gramEnd"/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плановый период 2023 и 2024 годов"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№ 49-176 от 24.12.2021 г.</w:t>
            </w:r>
          </w:p>
        </w:tc>
      </w:tr>
      <w:tr w:rsidR="00D652FB" w:rsidRPr="00D652FB" w:rsidTr="007C6554">
        <w:trPr>
          <w:trHeight w:val="1738"/>
        </w:trPr>
        <w:tc>
          <w:tcPr>
            <w:tcW w:w="9571" w:type="dxa"/>
            <w:gridSpan w:val="4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Поступление доходов</w:t>
            </w:r>
          </w:p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в бюджет сельского поселения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</w:t>
            </w:r>
          </w:p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 на плановый период 2023-2024 годов</w:t>
            </w:r>
          </w:p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</w:tr>
      <w:tr w:rsidR="00D652FB" w:rsidRPr="00D652FB" w:rsidTr="007C6554">
        <w:trPr>
          <w:trHeight w:val="375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5177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(в рублях)</w:t>
            </w:r>
          </w:p>
        </w:tc>
      </w:tr>
      <w:tr w:rsidR="00D652FB" w:rsidRPr="00D652FB" w:rsidTr="007C6554">
        <w:trPr>
          <w:trHeight w:val="675"/>
        </w:trPr>
        <w:tc>
          <w:tcPr>
            <w:tcW w:w="1459" w:type="dxa"/>
            <w:vMerge w:val="restart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Код вида, подвида доходов бюджета</w:t>
            </w:r>
          </w:p>
        </w:tc>
        <w:tc>
          <w:tcPr>
            <w:tcW w:w="5177" w:type="dxa"/>
            <w:vMerge w:val="restart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935" w:type="dxa"/>
            <w:gridSpan w:val="2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Сумма</w:t>
            </w:r>
          </w:p>
        </w:tc>
      </w:tr>
      <w:tr w:rsidR="00D652FB" w:rsidRPr="00D652FB" w:rsidTr="007C6554">
        <w:trPr>
          <w:trHeight w:val="660"/>
        </w:trPr>
        <w:tc>
          <w:tcPr>
            <w:tcW w:w="1459" w:type="dxa"/>
            <w:vMerge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77" w:type="dxa"/>
            <w:vMerge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2023 год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D652FB" w:rsidRPr="00D652FB" w:rsidTr="007C6554">
        <w:trPr>
          <w:trHeight w:val="375"/>
        </w:trPr>
        <w:tc>
          <w:tcPr>
            <w:tcW w:w="1459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D652FB" w:rsidRPr="00D652FB" w:rsidTr="007C6554">
        <w:trPr>
          <w:trHeight w:val="375"/>
        </w:trPr>
        <w:tc>
          <w:tcPr>
            <w:tcW w:w="1459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4 111 300,00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4 111 300,00</w:t>
            </w:r>
          </w:p>
        </w:tc>
      </w:tr>
      <w:tr w:rsidR="00D652FB" w:rsidRPr="00D652FB" w:rsidTr="007C6554">
        <w:trPr>
          <w:trHeight w:val="45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1 00 00 000 00 0000 000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НАЛОГОВЫЕ И НЕНАЛОГОВЫЕ ДОХОДЫ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720 000,00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737 000,00</w:t>
            </w:r>
          </w:p>
        </w:tc>
      </w:tr>
      <w:tr w:rsidR="00D652FB" w:rsidRPr="00D652FB" w:rsidTr="007C6554">
        <w:trPr>
          <w:trHeight w:val="405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1 01 00 000 00 0000 000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НАЛОГИ НА ПРИБЫЛЬ, ДОХОДЫ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70 000,00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70 000,00</w:t>
            </w:r>
          </w:p>
        </w:tc>
      </w:tr>
      <w:tr w:rsidR="00D652FB" w:rsidRPr="00D652FB" w:rsidTr="007C6554">
        <w:trPr>
          <w:trHeight w:val="48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1 01 02 000 01 0000 110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Налог на доходы физических лиц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70 000,00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70 000,00</w:t>
            </w:r>
          </w:p>
        </w:tc>
      </w:tr>
      <w:tr w:rsidR="00D652FB" w:rsidRPr="00D652FB" w:rsidTr="007C6554">
        <w:trPr>
          <w:trHeight w:val="153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1 01 02 010 01 0000 110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70 000,00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70 000,00</w:t>
            </w:r>
          </w:p>
        </w:tc>
      </w:tr>
      <w:tr w:rsidR="00D652FB" w:rsidRPr="00D652FB" w:rsidTr="007C6554">
        <w:trPr>
          <w:trHeight w:val="525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1 06 00 000 00 0000 000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НАЛОГИ НА ИМУЩЕСТВО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642 000,00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659 000,00</w:t>
            </w:r>
          </w:p>
        </w:tc>
      </w:tr>
      <w:tr w:rsidR="00D652FB" w:rsidRPr="00D652FB" w:rsidTr="007C6554">
        <w:trPr>
          <w:trHeight w:val="495"/>
        </w:trPr>
        <w:tc>
          <w:tcPr>
            <w:tcW w:w="1459" w:type="dxa"/>
            <w:noWrap/>
            <w:hideMark/>
          </w:tcPr>
          <w:p w:rsidR="00D652FB" w:rsidRPr="00A62A12" w:rsidRDefault="00A62A12" w:rsidP="00D652FB">
            <w:pPr>
              <w:rPr>
                <w:rFonts w:ascii="Times New Roman" w:eastAsiaTheme="minorHAnsi" w:hAnsi="Times New Roman" w:cs="Times New Roman"/>
              </w:rPr>
            </w:pPr>
            <w:r w:rsidRPr="00A62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1 06 01 </w:t>
            </w:r>
            <w:r w:rsidRPr="00A62A12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030 10 0000 110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Налог на имущество физических лиц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53 000,00</w:t>
            </w:r>
          </w:p>
        </w:tc>
      </w:tr>
      <w:tr w:rsidR="00D652FB" w:rsidRPr="00D652FB" w:rsidTr="007C6554">
        <w:trPr>
          <w:trHeight w:val="885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1 06 01 010 02 0000 110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53 000,00</w:t>
            </w:r>
          </w:p>
        </w:tc>
      </w:tr>
      <w:tr w:rsidR="00D652FB" w:rsidRPr="00D652FB" w:rsidTr="007C6554">
        <w:trPr>
          <w:trHeight w:val="57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1 06 06 000 00 0000 110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Земельный налог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595 000,00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606 000,00</w:t>
            </w:r>
          </w:p>
        </w:tc>
      </w:tr>
      <w:tr w:rsidR="00D652FB" w:rsidRPr="00D652FB" w:rsidTr="007C6554">
        <w:trPr>
          <w:trHeight w:val="75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1 06 06 030 00 0000 110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Земельный налог с организаций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60 000,00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60 000,00</w:t>
            </w:r>
          </w:p>
        </w:tc>
      </w:tr>
      <w:tr w:rsidR="00D652FB" w:rsidRPr="00D652FB" w:rsidTr="007C6554">
        <w:trPr>
          <w:trHeight w:val="75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1 06 06 033 10 0000 110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60 000,00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60 000,00</w:t>
            </w:r>
          </w:p>
        </w:tc>
      </w:tr>
      <w:tr w:rsidR="00D652FB" w:rsidRPr="00D652FB" w:rsidTr="007C6554">
        <w:trPr>
          <w:trHeight w:val="75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1 06 06 040 00 0000 110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Земельный налог с физических лиц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535 000,00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546 000,00</w:t>
            </w:r>
          </w:p>
        </w:tc>
      </w:tr>
      <w:tr w:rsidR="00D652FB" w:rsidRPr="00D652FB" w:rsidTr="007C6554">
        <w:trPr>
          <w:trHeight w:val="75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1 06 06 043 10 0000 110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535 000,00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546 000,00</w:t>
            </w:r>
          </w:p>
        </w:tc>
      </w:tr>
      <w:tr w:rsidR="00D652FB" w:rsidRPr="00D652FB" w:rsidTr="007C6554">
        <w:trPr>
          <w:trHeight w:val="75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1 08 00 000 00 0000 000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ГОСУДАРСТВЕННАЯ ПОШЛИНА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  <w:tr w:rsidR="00D652FB" w:rsidRPr="00D652FB" w:rsidTr="007C6554">
        <w:trPr>
          <w:trHeight w:val="75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1 08 04 000 01 0000 110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  <w:tr w:rsidR="00D652FB" w:rsidRPr="00D652FB" w:rsidTr="007C6554">
        <w:trPr>
          <w:trHeight w:val="75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1 08 04 020 01 0000 110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8 000,00</w:t>
            </w:r>
          </w:p>
        </w:tc>
        <w:tc>
          <w:tcPr>
            <w:tcW w:w="207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  <w:tr w:rsidR="00D652FB" w:rsidRPr="00D652FB" w:rsidTr="007C6554">
        <w:trPr>
          <w:trHeight w:val="51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2 00 00 000 00 0000 000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БЕЗВОЗМЕЗДНЫЕ ПОСТУПЛЕНИЯ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3 391 300,00 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3 374 300,00 </w:t>
            </w:r>
          </w:p>
        </w:tc>
      </w:tr>
      <w:tr w:rsidR="00D652FB" w:rsidRPr="00D652FB" w:rsidTr="007C6554">
        <w:trPr>
          <w:trHeight w:val="81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2 02 00 000 00 0000 000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3 391 300,00 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3 374 300,00 </w:t>
            </w:r>
          </w:p>
        </w:tc>
      </w:tr>
      <w:tr w:rsidR="00D652FB" w:rsidRPr="00D652FB" w:rsidTr="007C6554">
        <w:trPr>
          <w:trHeight w:val="63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2 02 10 000 00 0000 150</w:t>
            </w:r>
            <w:bookmarkStart w:id="8" w:name="_GoBack"/>
            <w:bookmarkEnd w:id="8"/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3 336 100,00 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3 319 100,00 </w:t>
            </w:r>
          </w:p>
        </w:tc>
      </w:tr>
      <w:tr w:rsidR="00D652FB" w:rsidRPr="00D652FB" w:rsidTr="007C6554">
        <w:trPr>
          <w:trHeight w:val="90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2 02 16 001 00 0000 150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3 336 100,00 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3 319 100,00 </w:t>
            </w:r>
          </w:p>
        </w:tc>
      </w:tr>
      <w:tr w:rsidR="00D652FB" w:rsidRPr="00D652FB" w:rsidTr="007C6554">
        <w:trPr>
          <w:trHeight w:val="855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2 02 16 001 10 0000 150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3 336 100,00 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3 319 100,00 </w:t>
            </w:r>
          </w:p>
        </w:tc>
      </w:tr>
      <w:tr w:rsidR="00D652FB" w:rsidRPr="00D652FB" w:rsidTr="007C6554">
        <w:trPr>
          <w:trHeight w:val="87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2 02 30 000 00 0000 150</w:t>
            </w:r>
          </w:p>
        </w:tc>
        <w:tc>
          <w:tcPr>
            <w:tcW w:w="5177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900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2 02 35 118 10 0000 150</w:t>
            </w:r>
          </w:p>
        </w:tc>
        <w:tc>
          <w:tcPr>
            <w:tcW w:w="5177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4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5177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</w:tr>
    </w:tbl>
    <w:p w:rsidR="00D652FB" w:rsidRPr="00D652FB" w:rsidRDefault="00D652FB" w:rsidP="00D652FB">
      <w:pPr>
        <w:rPr>
          <w:rFonts w:ascii="Times New Roman" w:eastAsiaTheme="minorHAnsi" w:hAnsi="Times New Roman" w:cs="Times New Roman"/>
        </w:rPr>
      </w:pPr>
    </w:p>
    <w:p w:rsidR="0062675A" w:rsidRDefault="0062675A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2"/>
        <w:gridCol w:w="1207"/>
        <w:gridCol w:w="4715"/>
        <w:gridCol w:w="1140"/>
        <w:gridCol w:w="493"/>
        <w:gridCol w:w="846"/>
      </w:tblGrid>
      <w:tr w:rsidR="00D652FB" w:rsidRPr="00D652FB" w:rsidTr="007C6554">
        <w:trPr>
          <w:trHeight w:val="3109"/>
        </w:trPr>
        <w:tc>
          <w:tcPr>
            <w:tcW w:w="9571" w:type="dxa"/>
            <w:gridSpan w:val="6"/>
            <w:noWrap/>
            <w:hideMark/>
          </w:tcPr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Приложение №5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к проекту решения Совета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Республики Башкортостан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"О бюджете сельского поселения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Республики Башкортостан на 2022 год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и плановый период  2023 и 2024 годов"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№  49-176 от 24.12.2021 г.</w:t>
            </w:r>
          </w:p>
        </w:tc>
      </w:tr>
      <w:tr w:rsidR="00D652FB" w:rsidRPr="00D652FB" w:rsidTr="007C6554">
        <w:trPr>
          <w:trHeight w:val="1320"/>
        </w:trPr>
        <w:tc>
          <w:tcPr>
            <w:tcW w:w="9571" w:type="dxa"/>
            <w:gridSpan w:val="6"/>
            <w:hideMark/>
          </w:tcPr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Распределение бюджетных ассигнований на 2022 год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видов расходов классификации расходов бюджетов</w:t>
            </w:r>
            <w:proofErr w:type="gramEnd"/>
          </w:p>
        </w:tc>
      </w:tr>
      <w:tr w:rsidR="00D652FB" w:rsidRPr="00D652FB" w:rsidTr="007C6554">
        <w:trPr>
          <w:trHeight w:val="300"/>
        </w:trPr>
        <w:tc>
          <w:tcPr>
            <w:tcW w:w="91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7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7C6554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Ед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.И</w:t>
            </w:r>
            <w:proofErr w:type="gramEnd"/>
            <w:r w:rsidRPr="00D652FB">
              <w:rPr>
                <w:rFonts w:ascii="Times New Roman" w:eastAsiaTheme="minorHAnsi" w:hAnsi="Times New Roman" w:cs="Times New Roman"/>
              </w:rPr>
              <w:t>зм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>.: рублей</w:t>
            </w:r>
          </w:p>
        </w:tc>
      </w:tr>
      <w:tr w:rsidR="00D652FB" w:rsidRPr="00D652FB" w:rsidTr="007C6554">
        <w:trPr>
          <w:trHeight w:val="315"/>
        </w:trPr>
        <w:tc>
          <w:tcPr>
            <w:tcW w:w="1677" w:type="dxa"/>
            <w:gridSpan w:val="2"/>
            <w:vMerge w:val="restart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5572" w:type="dxa"/>
            <w:vMerge w:val="restart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РзПр</w:t>
            </w:r>
            <w:proofErr w:type="spellEnd"/>
          </w:p>
        </w:tc>
        <w:tc>
          <w:tcPr>
            <w:tcW w:w="885" w:type="dxa"/>
            <w:vMerge w:val="restart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ЦСР</w:t>
            </w:r>
          </w:p>
        </w:tc>
        <w:tc>
          <w:tcPr>
            <w:tcW w:w="471" w:type="dxa"/>
            <w:vMerge w:val="restart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ВР</w:t>
            </w:r>
          </w:p>
        </w:tc>
        <w:tc>
          <w:tcPr>
            <w:tcW w:w="966" w:type="dxa"/>
            <w:vMerge w:val="restart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2022</w:t>
            </w:r>
          </w:p>
        </w:tc>
      </w:tr>
      <w:tr w:rsidR="00D652FB" w:rsidRPr="00D652FB" w:rsidTr="007C6554">
        <w:trPr>
          <w:trHeight w:val="315"/>
        </w:trPr>
        <w:tc>
          <w:tcPr>
            <w:tcW w:w="1677" w:type="dxa"/>
            <w:gridSpan w:val="2"/>
            <w:vMerge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72" w:type="dxa"/>
            <w:vMerge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1" w:type="dxa"/>
            <w:vMerge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66" w:type="dxa"/>
            <w:vMerge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4 602 300,00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ОБЩЕГОСУДАРСТВЕННЫЕ ВОПРОСЫ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0100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2 709 700,00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0102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0102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0102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Глава муниципального образования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0102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фондами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0102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1 939 300,00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1 939 300,00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1 939 300,00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1 939 300,00 </w:t>
            </w:r>
          </w:p>
        </w:tc>
      </w:tr>
      <w:tr w:rsidR="00D652FB" w:rsidRPr="00D652FB" w:rsidTr="007C6554">
        <w:trPr>
          <w:trHeight w:val="58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1 428 300,00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461 000,00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Резервные фонды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51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НАЦИОНАЛЬНАЯ ОБОРОНА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0200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58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54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0300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503 400,00 </w:t>
            </w:r>
          </w:p>
        </w:tc>
      </w:tr>
      <w:tr w:rsidR="00D652FB" w:rsidRPr="00D652FB" w:rsidTr="007C6554">
        <w:trPr>
          <w:trHeight w:val="54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5000000000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55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5010000000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55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5000000000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Профилактика терроризма и экстремизма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5020000000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профилактике терроризма и экстремизма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ЖИЛИЩНО-КОММУНАЛЬНОЕ ХОЗЯЙСТВО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0500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1 334 000,00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Коммунальное хозяйство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154 000,00 </w:t>
            </w:r>
          </w:p>
        </w:tc>
      </w:tr>
      <w:tr w:rsidR="00D652FB" w:rsidRPr="00D652FB" w:rsidTr="007C6554">
        <w:trPr>
          <w:trHeight w:val="54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Башкортостан»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0502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154 000,00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5210000000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154 000,00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154 000,00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Благоустройство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1 180 000,00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88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7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1 180 000,00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благоустройству сельских территорий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5210000000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1 180 000,00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680 000,00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680 000,00 </w:t>
            </w:r>
          </w:p>
        </w:tc>
      </w:tr>
      <w:tr w:rsidR="00D652FB" w:rsidRPr="00D652FB" w:rsidTr="007C6554">
        <w:trPr>
          <w:trHeight w:val="58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5210074040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67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88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5210074040</w:t>
            </w:r>
          </w:p>
        </w:tc>
        <w:tc>
          <w:tcPr>
            <w:tcW w:w="47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6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500 000,00 </w:t>
            </w:r>
          </w:p>
        </w:tc>
      </w:tr>
    </w:tbl>
    <w:p w:rsidR="00D652FB" w:rsidRP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p w:rsidR="00D652FB" w:rsidRDefault="00D652F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4"/>
        <w:gridCol w:w="1235"/>
        <w:gridCol w:w="1794"/>
        <w:gridCol w:w="3258"/>
        <w:gridCol w:w="501"/>
        <w:gridCol w:w="810"/>
        <w:gridCol w:w="771"/>
      </w:tblGrid>
      <w:tr w:rsidR="00D652FB" w:rsidRPr="00D652FB" w:rsidTr="007C6554">
        <w:trPr>
          <w:trHeight w:val="3109"/>
        </w:trPr>
        <w:tc>
          <w:tcPr>
            <w:tcW w:w="9571" w:type="dxa"/>
            <w:gridSpan w:val="7"/>
            <w:noWrap/>
            <w:hideMark/>
          </w:tcPr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                                                                                     Приложение №6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к проекту решения Совета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Республики Башкортостан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"О бюджете сельского поселения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Республики Башкортостан на 2022 год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и плановый период  2023 и 2024 годов"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№  49-176 от 24.12.2021 г.</w:t>
            </w:r>
          </w:p>
        </w:tc>
      </w:tr>
      <w:tr w:rsidR="00D652FB" w:rsidRPr="00D652FB" w:rsidTr="007C6554">
        <w:trPr>
          <w:trHeight w:val="1320"/>
        </w:trPr>
        <w:tc>
          <w:tcPr>
            <w:tcW w:w="9571" w:type="dxa"/>
            <w:gridSpan w:val="7"/>
            <w:hideMark/>
          </w:tcPr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Распределение бюджетных ассигнований на плановый период 2023 и 2024 годов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видов расходов классификации расходов бюджетов</w:t>
            </w:r>
            <w:proofErr w:type="gramEnd"/>
          </w:p>
        </w:tc>
      </w:tr>
      <w:tr w:rsidR="00D652FB" w:rsidRPr="00D652FB" w:rsidTr="007C6554">
        <w:trPr>
          <w:trHeight w:val="300"/>
        </w:trPr>
        <w:tc>
          <w:tcPr>
            <w:tcW w:w="854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4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7C6554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Ед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.И</w:t>
            </w:r>
            <w:proofErr w:type="gramEnd"/>
            <w:r w:rsidRPr="00D652FB">
              <w:rPr>
                <w:rFonts w:ascii="Times New Roman" w:eastAsiaTheme="minorHAnsi" w:hAnsi="Times New Roman" w:cs="Times New Roman"/>
              </w:rPr>
              <w:t>зм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>.: рублей</w:t>
            </w:r>
          </w:p>
        </w:tc>
      </w:tr>
      <w:tr w:rsidR="00D652FB" w:rsidRPr="00D652FB" w:rsidTr="007C6554">
        <w:trPr>
          <w:trHeight w:val="570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РзПр</w:t>
            </w:r>
            <w:proofErr w:type="spellEnd"/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ЦСР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ВР</w:t>
            </w:r>
          </w:p>
        </w:tc>
        <w:tc>
          <w:tcPr>
            <w:tcW w:w="90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2023</w:t>
            </w:r>
          </w:p>
        </w:tc>
        <w:tc>
          <w:tcPr>
            <w:tcW w:w="859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2024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4 111 300,00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4 111 300,00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ОБЩЕГОСУДАРСТВЕННЫЕ ВОПРОСЫ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0100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2 719 700,00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2 719 700,00</w:t>
            </w:r>
          </w:p>
        </w:tc>
      </w:tr>
      <w:tr w:rsidR="00D652FB" w:rsidRPr="00D652FB" w:rsidTr="007C6554">
        <w:trPr>
          <w:trHeight w:val="540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0102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55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0102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0102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Глава муниципального образования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0102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55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0102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540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</w:tr>
      <w:tr w:rsidR="00D652FB" w:rsidRPr="00D652FB" w:rsidTr="007C6554">
        <w:trPr>
          <w:trHeight w:val="570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</w:tr>
      <w:tr w:rsidR="00D652FB" w:rsidRPr="00D652FB" w:rsidTr="007C6554">
        <w:trPr>
          <w:trHeight w:val="61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1 428 300,00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1 428 300,00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471 000,00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471 000,00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0104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Резервные фонды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540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0111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НАЦИОНАЛЬНАЯ ОБОРОНА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0200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58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64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58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0203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0300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482 400,00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482 400,00</w:t>
            </w:r>
          </w:p>
        </w:tc>
      </w:tr>
      <w:tr w:rsidR="00D652FB" w:rsidRPr="00D652FB" w:rsidTr="007C6554">
        <w:trPr>
          <w:trHeight w:val="58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570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lastRenderedPageBreak/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0310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61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5010000000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0310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61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Профилактика терроризма и экстремизма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5020000000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профилактике терроризма и экстремизма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0314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ЖИЛИЩНО-КОММУНАЛЬНОЕ ХОЗЯЙСТВО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0500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752 600,00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651 200,00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Коммунальное хозяйство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</w:tr>
      <w:tr w:rsidR="00D652FB" w:rsidRPr="00D652FB" w:rsidTr="007C6554">
        <w:trPr>
          <w:trHeight w:val="540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Республики Башкортостан»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0502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5210000000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150 000,00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0502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4 000,00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Благоустройство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510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благоустройству сельских территорий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5210000000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0503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Условно утвержденные расходы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9999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Условно утвержденные расходы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9999</w:t>
            </w:r>
          </w:p>
        </w:tc>
        <w:tc>
          <w:tcPr>
            <w:tcW w:w="3743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9900000000</w:t>
            </w:r>
          </w:p>
        </w:tc>
        <w:tc>
          <w:tcPr>
            <w:tcW w:w="45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Непрограммные расходы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9999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9900099999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56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средства</w:t>
            </w:r>
          </w:p>
        </w:tc>
        <w:tc>
          <w:tcPr>
            <w:tcW w:w="204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9999</w:t>
            </w:r>
          </w:p>
        </w:tc>
        <w:tc>
          <w:tcPr>
            <w:tcW w:w="374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9900099999</w:t>
            </w:r>
          </w:p>
        </w:tc>
        <w:tc>
          <w:tcPr>
            <w:tcW w:w="45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900</w:t>
            </w:r>
          </w:p>
        </w:tc>
        <w:tc>
          <w:tcPr>
            <w:tcW w:w="90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85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</w:tbl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"/>
        <w:gridCol w:w="954"/>
        <w:gridCol w:w="2925"/>
        <w:gridCol w:w="1244"/>
        <w:gridCol w:w="3722"/>
      </w:tblGrid>
      <w:tr w:rsidR="00D652FB" w:rsidRPr="00D652FB" w:rsidTr="007C6554">
        <w:trPr>
          <w:trHeight w:val="3108"/>
        </w:trPr>
        <w:tc>
          <w:tcPr>
            <w:tcW w:w="9571" w:type="dxa"/>
            <w:gridSpan w:val="5"/>
            <w:noWrap/>
            <w:hideMark/>
          </w:tcPr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Приложение №7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к проекту решения Совета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Республики Башкортостан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"О бюджете сельского поселения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Республики Башкортостан на 2022 год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и плановый период  2023 и 2024 годов"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№  49-176 от 24.12.2021 г.</w:t>
            </w:r>
          </w:p>
        </w:tc>
      </w:tr>
      <w:tr w:rsidR="00D652FB" w:rsidRPr="00D652FB" w:rsidTr="007C6554">
        <w:trPr>
          <w:trHeight w:val="1320"/>
        </w:trPr>
        <w:tc>
          <w:tcPr>
            <w:tcW w:w="9571" w:type="dxa"/>
            <w:gridSpan w:val="5"/>
            <w:hideMark/>
          </w:tcPr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Распределение бюджетных ассигнований на 2022 год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видов расходов классификации расходов бюджетов</w:t>
            </w:r>
            <w:proofErr w:type="gramEnd"/>
          </w:p>
        </w:tc>
      </w:tr>
      <w:tr w:rsidR="00D652FB" w:rsidRPr="00D652FB" w:rsidTr="007C6554">
        <w:trPr>
          <w:trHeight w:val="300"/>
        </w:trPr>
        <w:tc>
          <w:tcPr>
            <w:tcW w:w="69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7C6554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Ед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.И</w:t>
            </w:r>
            <w:proofErr w:type="gramEnd"/>
            <w:r w:rsidRPr="00D652FB">
              <w:rPr>
                <w:rFonts w:ascii="Times New Roman" w:eastAsiaTheme="minorHAnsi" w:hAnsi="Times New Roman" w:cs="Times New Roman"/>
              </w:rPr>
              <w:t>зм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>.: рублей</w:t>
            </w:r>
          </w:p>
        </w:tc>
      </w:tr>
      <w:tr w:rsidR="00D652FB" w:rsidRPr="00D652FB" w:rsidTr="007C6554">
        <w:trPr>
          <w:trHeight w:val="52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ЦСР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ВР</w:t>
            </w:r>
          </w:p>
        </w:tc>
        <w:tc>
          <w:tcPr>
            <w:tcW w:w="388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2022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4 602 300,00 </w:t>
            </w:r>
          </w:p>
        </w:tc>
      </w:tr>
      <w:tr w:rsidR="00D652FB" w:rsidRPr="00D652FB" w:rsidTr="007C6554">
        <w:trPr>
          <w:trHeight w:val="58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Глава муниципального образования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61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5230002030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</w:tr>
      <w:tr w:rsidR="00D652FB" w:rsidRPr="00D652FB" w:rsidTr="007C6554">
        <w:trPr>
          <w:trHeight w:val="510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1 939 300,00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1 939 300,00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1 939 300,00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1 428 300,00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461 000,00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50 000,00 </w:t>
            </w:r>
          </w:p>
        </w:tc>
      </w:tr>
      <w:tr w:rsidR="00D652FB" w:rsidRPr="00D652FB" w:rsidTr="007C6554">
        <w:trPr>
          <w:trHeight w:val="55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5200000000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55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600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510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5230051180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</w:tr>
      <w:tr w:rsidR="00D652FB" w:rsidRPr="00D652FB" w:rsidTr="007C6554">
        <w:trPr>
          <w:trHeight w:val="55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5000000000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5010000000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</w:tr>
      <w:tr w:rsidR="00D652FB" w:rsidRPr="00D652FB" w:rsidTr="007C6554">
        <w:trPr>
          <w:trHeight w:val="55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5000000000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Профилактика терроризма и экстремизма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5020000000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профилактике терроризма и экстремизма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</w:tr>
      <w:tr w:rsidR="00D652FB" w:rsidRPr="00D652FB" w:rsidTr="007C6554">
        <w:trPr>
          <w:trHeight w:val="540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154 000,00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благоустройству сельских территорий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5210000000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154 000,00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154 000,00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4 000,00 </w:t>
            </w:r>
          </w:p>
        </w:tc>
      </w:tr>
      <w:tr w:rsidR="00D652FB" w:rsidRPr="00D652FB" w:rsidTr="007C6554">
        <w:trPr>
          <w:trHeight w:val="55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30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1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1 180 000,00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Мероприятия по благоустройству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сельских территорий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5210000000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1 180 000,00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680 000,00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680 000,00 </w:t>
            </w:r>
          </w:p>
        </w:tc>
      </w:tr>
      <w:tr w:rsidR="00D652FB" w:rsidRPr="00D652FB" w:rsidTr="007C6554">
        <w:trPr>
          <w:trHeight w:val="570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5210074040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500 000,00 </w:t>
            </w:r>
          </w:p>
        </w:tc>
      </w:tr>
      <w:tr w:rsidR="00D652FB" w:rsidRPr="00D652FB" w:rsidTr="007C6554">
        <w:trPr>
          <w:trHeight w:val="375"/>
        </w:trPr>
        <w:tc>
          <w:tcPr>
            <w:tcW w:w="135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5210074040</w:t>
            </w: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500 000,00 </w:t>
            </w:r>
          </w:p>
        </w:tc>
      </w:tr>
      <w:tr w:rsidR="00D652FB" w:rsidRPr="00D652FB" w:rsidTr="007C6554">
        <w:trPr>
          <w:trHeight w:val="300"/>
        </w:trPr>
        <w:tc>
          <w:tcPr>
            <w:tcW w:w="693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D652FB" w:rsidRPr="00D652FB" w:rsidRDefault="00D652FB" w:rsidP="00D652FB">
      <w:pPr>
        <w:rPr>
          <w:rFonts w:asciiTheme="minorHAnsi" w:eastAsiaTheme="minorHAnsi" w:hAnsiTheme="minorHAnsi" w:cstheme="minorBidi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"/>
        <w:gridCol w:w="949"/>
        <w:gridCol w:w="2146"/>
        <w:gridCol w:w="907"/>
        <w:gridCol w:w="2444"/>
        <w:gridCol w:w="2415"/>
      </w:tblGrid>
      <w:tr w:rsidR="00D652FB" w:rsidRPr="00D652FB" w:rsidTr="007C6554">
        <w:trPr>
          <w:trHeight w:val="3108"/>
        </w:trPr>
        <w:tc>
          <w:tcPr>
            <w:tcW w:w="9571" w:type="dxa"/>
            <w:gridSpan w:val="6"/>
            <w:noWrap/>
            <w:hideMark/>
          </w:tcPr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Приложение №8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к проекту решения Совета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Республики Башкортостан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"О бюджете сельского поселения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Республики Башкортостан на 2022 год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и плановый период  2023 и 2024 годов"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№  49-176 от 24.12.2021 г.</w:t>
            </w:r>
          </w:p>
        </w:tc>
      </w:tr>
      <w:tr w:rsidR="00D652FB" w:rsidRPr="00D652FB" w:rsidTr="007C6554">
        <w:trPr>
          <w:trHeight w:val="1320"/>
        </w:trPr>
        <w:tc>
          <w:tcPr>
            <w:tcW w:w="9571" w:type="dxa"/>
            <w:gridSpan w:val="6"/>
            <w:hideMark/>
          </w:tcPr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Распределение бюджетных ассигнований на плановый период  2023 и 2024 годов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видов расходов классификации расходов бюджетов</w:t>
            </w:r>
            <w:proofErr w:type="gramEnd"/>
          </w:p>
        </w:tc>
      </w:tr>
      <w:tr w:rsidR="00D652FB" w:rsidRPr="00D652FB" w:rsidTr="007C6554">
        <w:trPr>
          <w:trHeight w:val="300"/>
        </w:trPr>
        <w:tc>
          <w:tcPr>
            <w:tcW w:w="63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0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7C6554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Ед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.И</w:t>
            </w:r>
            <w:proofErr w:type="gramEnd"/>
            <w:r w:rsidRPr="00D652FB">
              <w:rPr>
                <w:rFonts w:ascii="Times New Roman" w:eastAsiaTheme="minorHAnsi" w:hAnsi="Times New Roman" w:cs="Times New Roman"/>
              </w:rPr>
              <w:t>зм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>.: рублей</w:t>
            </w:r>
          </w:p>
        </w:tc>
      </w:tr>
      <w:tr w:rsidR="00D652FB" w:rsidRPr="00D652FB" w:rsidTr="007C6554">
        <w:trPr>
          <w:trHeight w:val="450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ЦСР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ВР</w:t>
            </w:r>
          </w:p>
        </w:tc>
        <w:tc>
          <w:tcPr>
            <w:tcW w:w="257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2023</w:t>
            </w:r>
          </w:p>
        </w:tc>
        <w:tc>
          <w:tcPr>
            <w:tcW w:w="254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2024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4 111 300,00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4 111 300,00</w:t>
            </w:r>
          </w:p>
        </w:tc>
      </w:tr>
      <w:tr w:rsidR="00D652FB" w:rsidRPr="00D652FB" w:rsidTr="007C6554">
        <w:trPr>
          <w:trHeight w:val="55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Глава муниципального образования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600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5230002030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55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</w:tr>
      <w:tr w:rsidR="00D652FB" w:rsidRPr="00D652FB" w:rsidTr="007C6554">
        <w:trPr>
          <w:trHeight w:val="55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1 428 300,00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1 428 300,00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471 000,00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471 000,00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50 000,00</w:t>
            </w:r>
          </w:p>
        </w:tc>
      </w:tr>
      <w:tr w:rsidR="00D652FB" w:rsidRPr="00D652FB" w:rsidTr="007C6554">
        <w:trPr>
          <w:trHeight w:val="600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5200000000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570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Основное мероприятие «Руководство и управление в сфере установленных функций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5230000000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61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570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и внебюджетными фондами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5230051180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61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55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5010000000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55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5000000000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Профилактика терроризма и экстремизма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5020000000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профилактике терроризма и экстремизма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540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благоустройству сельских территорий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5210000000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150 000,00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4 000,00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4 000,00</w:t>
            </w:r>
          </w:p>
        </w:tc>
      </w:tr>
      <w:tr w:rsidR="00D652FB" w:rsidRPr="00D652FB" w:rsidTr="007C6554">
        <w:trPr>
          <w:trHeight w:val="58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Муниципальная программа «Устойчивое развитие сельских территорий сельских поселений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Мероприятия по благоустройству сельских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территорий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5210000000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Условно утвержденные расходы</w:t>
            </w:r>
          </w:p>
        </w:tc>
        <w:tc>
          <w:tcPr>
            <w:tcW w:w="2260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9900000000</w:t>
            </w:r>
          </w:p>
        </w:tc>
        <w:tc>
          <w:tcPr>
            <w:tcW w:w="94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Непрограммные расходы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9900099999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42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средства</w:t>
            </w:r>
          </w:p>
        </w:tc>
        <w:tc>
          <w:tcPr>
            <w:tcW w:w="2260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9900099999</w:t>
            </w:r>
          </w:p>
        </w:tc>
        <w:tc>
          <w:tcPr>
            <w:tcW w:w="94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900</w:t>
            </w:r>
          </w:p>
        </w:tc>
        <w:tc>
          <w:tcPr>
            <w:tcW w:w="257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254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</w:tbl>
    <w:p w:rsidR="00D652FB" w:rsidRP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9"/>
        <w:gridCol w:w="983"/>
        <w:gridCol w:w="1339"/>
        <w:gridCol w:w="2279"/>
        <w:gridCol w:w="875"/>
        <w:gridCol w:w="2826"/>
        <w:gridCol w:w="522"/>
      </w:tblGrid>
      <w:tr w:rsidR="00D652FB" w:rsidRPr="00D652FB" w:rsidTr="00D652FB">
        <w:trPr>
          <w:trHeight w:val="2966"/>
        </w:trPr>
        <w:tc>
          <w:tcPr>
            <w:tcW w:w="9853" w:type="dxa"/>
            <w:gridSpan w:val="7"/>
            <w:noWrap/>
            <w:hideMark/>
          </w:tcPr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Приложение №9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к проекту решения Совета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Республики Башкортостан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"О бюджете сельского поселения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Республики Башкортостан на 2022 год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и плановый период  2023 и 2024 годов"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№  49-176 от 27.12.2021 г.</w:t>
            </w:r>
          </w:p>
        </w:tc>
      </w:tr>
      <w:tr w:rsidR="00D652FB" w:rsidRPr="00D652FB" w:rsidTr="00D652FB">
        <w:trPr>
          <w:trHeight w:val="300"/>
        </w:trPr>
        <w:tc>
          <w:tcPr>
            <w:tcW w:w="9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4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5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1320"/>
        </w:trPr>
        <w:tc>
          <w:tcPr>
            <w:tcW w:w="9328" w:type="dxa"/>
            <w:gridSpan w:val="6"/>
            <w:hideMark/>
          </w:tcPr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Ведомственная структура расходов бюджета на 2022 год</w:t>
            </w:r>
          </w:p>
        </w:tc>
        <w:tc>
          <w:tcPr>
            <w:tcW w:w="52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00"/>
        </w:trPr>
        <w:tc>
          <w:tcPr>
            <w:tcW w:w="9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4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5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15"/>
        </w:trPr>
        <w:tc>
          <w:tcPr>
            <w:tcW w:w="9328" w:type="dxa"/>
            <w:gridSpan w:val="6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Ед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.И</w:t>
            </w:r>
            <w:proofErr w:type="gramEnd"/>
            <w:r w:rsidRPr="00D652FB">
              <w:rPr>
                <w:rFonts w:ascii="Times New Roman" w:eastAsiaTheme="minorHAnsi" w:hAnsi="Times New Roman" w:cs="Times New Roman"/>
              </w:rPr>
              <w:t>зм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>.: рублей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510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Вед-во</w:t>
            </w:r>
            <w:proofErr w:type="gramEnd"/>
          </w:p>
        </w:tc>
        <w:tc>
          <w:tcPr>
            <w:tcW w:w="230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ЦСР</w:t>
            </w:r>
          </w:p>
        </w:tc>
        <w:tc>
          <w:tcPr>
            <w:tcW w:w="88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ВР</w:t>
            </w:r>
          </w:p>
        </w:tc>
        <w:tc>
          <w:tcPr>
            <w:tcW w:w="2855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2022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30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88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4 602 300,00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Глава муниципального образования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58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760 400,00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1 939 300,00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570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1 428 300,00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461 000,00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58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55 200,00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493 400,00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профилактике терроризма и экстремизма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154 000,00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150 000,00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4 000,00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680 000,00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680 000,00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630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5210074040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D652FB">
        <w:trPr>
          <w:trHeight w:val="375"/>
        </w:trPr>
        <w:tc>
          <w:tcPr>
            <w:tcW w:w="1937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230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5210074040</w:t>
            </w:r>
          </w:p>
        </w:tc>
        <w:tc>
          <w:tcPr>
            <w:tcW w:w="882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85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500 000,00 </w:t>
            </w:r>
          </w:p>
        </w:tc>
        <w:tc>
          <w:tcPr>
            <w:tcW w:w="52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D652FB" w:rsidRP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Pr="00D652FB" w:rsidRDefault="00D652FB" w:rsidP="00D652FB">
      <w:pPr>
        <w:rPr>
          <w:rFonts w:ascii="Times New Roman" w:eastAsiaTheme="minorHAnsi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9"/>
        <w:gridCol w:w="944"/>
        <w:gridCol w:w="1070"/>
        <w:gridCol w:w="1776"/>
        <w:gridCol w:w="760"/>
        <w:gridCol w:w="2151"/>
        <w:gridCol w:w="2163"/>
      </w:tblGrid>
      <w:tr w:rsidR="00D652FB" w:rsidRPr="00D652FB" w:rsidTr="007C6554">
        <w:trPr>
          <w:trHeight w:val="2966"/>
        </w:trPr>
        <w:tc>
          <w:tcPr>
            <w:tcW w:w="9571" w:type="dxa"/>
            <w:gridSpan w:val="7"/>
            <w:noWrap/>
            <w:hideMark/>
          </w:tcPr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 xml:space="preserve">                                                                                     Приложение №10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к проекту решения Совета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Республики Башкортостан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"О бюджете сельского поселения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Бурлинский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сельсовет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муниципального района </w:t>
            </w: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Гафурийский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 xml:space="preserve"> район 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Республики Башкортостан на 2022 год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и плановый период  2023 и 2024 годов" </w:t>
            </w:r>
          </w:p>
          <w:p w:rsidR="00D652FB" w:rsidRPr="00D652FB" w:rsidRDefault="00D652FB" w:rsidP="00D652FB">
            <w:pPr>
              <w:jc w:val="right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№  49-176 от 24.12.2021 г.</w:t>
            </w:r>
          </w:p>
        </w:tc>
      </w:tr>
      <w:tr w:rsidR="00D652FB" w:rsidRPr="00D652FB" w:rsidTr="007C6554">
        <w:trPr>
          <w:trHeight w:val="300"/>
        </w:trPr>
        <w:tc>
          <w:tcPr>
            <w:tcW w:w="61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8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7C6554">
        <w:trPr>
          <w:trHeight w:val="1320"/>
        </w:trPr>
        <w:tc>
          <w:tcPr>
            <w:tcW w:w="9571" w:type="dxa"/>
            <w:gridSpan w:val="7"/>
            <w:hideMark/>
          </w:tcPr>
          <w:p w:rsidR="00D652FB" w:rsidRPr="00D652FB" w:rsidRDefault="00D652FB" w:rsidP="00D652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Ведомственная структура расходов бюджета на плановый период 2023 и 2024 годов</w:t>
            </w:r>
          </w:p>
        </w:tc>
      </w:tr>
      <w:tr w:rsidR="00D652FB" w:rsidRPr="00D652FB" w:rsidTr="007C6554">
        <w:trPr>
          <w:trHeight w:val="300"/>
        </w:trPr>
        <w:tc>
          <w:tcPr>
            <w:tcW w:w="61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8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D652FB" w:rsidRPr="00D652FB" w:rsidTr="007C6554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D652FB">
              <w:rPr>
                <w:rFonts w:ascii="Times New Roman" w:eastAsiaTheme="minorHAnsi" w:hAnsi="Times New Roman" w:cs="Times New Roman"/>
              </w:rPr>
              <w:t>Ед</w:t>
            </w: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.И</w:t>
            </w:r>
            <w:proofErr w:type="gramEnd"/>
            <w:r w:rsidRPr="00D652FB">
              <w:rPr>
                <w:rFonts w:ascii="Times New Roman" w:eastAsiaTheme="minorHAnsi" w:hAnsi="Times New Roman" w:cs="Times New Roman"/>
              </w:rPr>
              <w:t>зм</w:t>
            </w:r>
            <w:proofErr w:type="spellEnd"/>
            <w:r w:rsidRPr="00D652FB">
              <w:rPr>
                <w:rFonts w:ascii="Times New Roman" w:eastAsiaTheme="minorHAnsi" w:hAnsi="Times New Roman" w:cs="Times New Roman"/>
              </w:rPr>
              <w:t>.: рублей</w:t>
            </w:r>
          </w:p>
        </w:tc>
      </w:tr>
      <w:tr w:rsidR="00D652FB" w:rsidRPr="00D652FB" w:rsidTr="007C6554">
        <w:trPr>
          <w:trHeight w:val="52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D652FB">
              <w:rPr>
                <w:rFonts w:ascii="Times New Roman" w:eastAsiaTheme="minorHAnsi" w:hAnsi="Times New Roman" w:cs="Times New Roman"/>
              </w:rPr>
              <w:t>Вед-во</w:t>
            </w:r>
            <w:proofErr w:type="gramEnd"/>
          </w:p>
        </w:tc>
        <w:tc>
          <w:tcPr>
            <w:tcW w:w="1879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ЦСР</w:t>
            </w:r>
          </w:p>
        </w:tc>
        <w:tc>
          <w:tcPr>
            <w:tcW w:w="79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ВР</w:t>
            </w:r>
          </w:p>
        </w:tc>
        <w:tc>
          <w:tcPr>
            <w:tcW w:w="2278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2023</w:t>
            </w:r>
          </w:p>
        </w:tc>
        <w:tc>
          <w:tcPr>
            <w:tcW w:w="2291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2024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1879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79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4 111 300,00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4 111 300,00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Глава муниципального образования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540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5230002030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760 400,00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1 949 300,00</w:t>
            </w:r>
          </w:p>
        </w:tc>
      </w:tr>
      <w:tr w:rsidR="00D652FB" w:rsidRPr="00D652FB" w:rsidTr="007C6554">
        <w:trPr>
          <w:trHeight w:val="61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1 428 300,00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1 428 300,00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471 000,00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471 000,00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5230002040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5230007500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600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55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5230051180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55 200,00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652FB">
              <w:rPr>
                <w:rFonts w:ascii="Times New Roman" w:eastAsiaTheme="minorHAnsi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5010024300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472 400,00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5020024700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150 000,00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бюджетные ассигнования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5210003560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800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4 000,00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4 000,00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5210006050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598 600,00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497 200,00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Непрограммные расходы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9900099999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 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  <w:tr w:rsidR="00D652FB" w:rsidRPr="00D652FB" w:rsidTr="007C6554">
        <w:trPr>
          <w:trHeight w:val="375"/>
        </w:trPr>
        <w:tc>
          <w:tcPr>
            <w:tcW w:w="1201" w:type="dxa"/>
            <w:gridSpan w:val="2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Иные средства</w:t>
            </w:r>
          </w:p>
        </w:tc>
        <w:tc>
          <w:tcPr>
            <w:tcW w:w="1126" w:type="dxa"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791</w:t>
            </w: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9900099999</w:t>
            </w: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900</w:t>
            </w: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101 400,00</w:t>
            </w: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  <w:r w:rsidRPr="00D652FB">
              <w:rPr>
                <w:rFonts w:ascii="Times New Roman" w:eastAsiaTheme="minorHAnsi" w:hAnsi="Times New Roman" w:cs="Times New Roman"/>
              </w:rPr>
              <w:t>202 800,00</w:t>
            </w:r>
          </w:p>
        </w:tc>
      </w:tr>
      <w:tr w:rsidR="00D652FB" w:rsidRPr="00D652FB" w:rsidTr="007C6554">
        <w:trPr>
          <w:trHeight w:val="300"/>
        </w:trPr>
        <w:tc>
          <w:tcPr>
            <w:tcW w:w="615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8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79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96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78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91" w:type="dxa"/>
            <w:noWrap/>
            <w:hideMark/>
          </w:tcPr>
          <w:p w:rsidR="00D652FB" w:rsidRPr="00D652FB" w:rsidRDefault="00D652FB" w:rsidP="00D652FB">
            <w:pPr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D652FB" w:rsidRPr="00D652FB" w:rsidRDefault="00D652FB" w:rsidP="00D652FB">
      <w:pPr>
        <w:rPr>
          <w:rFonts w:ascii="Times New Roman" w:eastAsiaTheme="minorHAnsi" w:hAnsi="Times New Roman" w:cs="Times New Roman"/>
        </w:rPr>
      </w:pPr>
    </w:p>
    <w:p w:rsidR="00D652FB" w:rsidRPr="00D652FB" w:rsidRDefault="00D652FB">
      <w:pPr>
        <w:rPr>
          <w:rFonts w:ascii="Times New Roman" w:hAnsi="Times New Roman" w:cs="Times New Roman"/>
        </w:rPr>
      </w:pPr>
    </w:p>
    <w:sectPr w:rsidR="00D652FB" w:rsidRPr="00D652FB" w:rsidSect="0066705B">
      <w:headerReference w:type="default" r:id="rId8"/>
      <w:headerReference w:type="first" r:id="rId9"/>
      <w:pgSz w:w="11906" w:h="16838"/>
      <w:pgMar w:top="-709" w:right="851" w:bottom="5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35" w:rsidRDefault="00697735">
      <w:pPr>
        <w:spacing w:after="0" w:line="240" w:lineRule="auto"/>
      </w:pPr>
      <w:r>
        <w:separator/>
      </w:r>
    </w:p>
  </w:endnote>
  <w:endnote w:type="continuationSeparator" w:id="0">
    <w:p w:rsidR="00697735" w:rsidRDefault="006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35" w:rsidRDefault="00697735">
      <w:pPr>
        <w:spacing w:after="0" w:line="240" w:lineRule="auto"/>
      </w:pPr>
      <w:r>
        <w:separator/>
      </w:r>
    </w:p>
  </w:footnote>
  <w:footnote w:type="continuationSeparator" w:id="0">
    <w:p w:rsidR="00697735" w:rsidRDefault="0069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85" w:rsidRPr="00156A4F" w:rsidRDefault="00D652F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62A12">
      <w:rPr>
        <w:rFonts w:ascii="Times New Roman" w:hAnsi="Times New Roman" w:cs="Times New Roman"/>
        <w:noProof/>
        <w:sz w:val="28"/>
        <w:szCs w:val="28"/>
      </w:rPr>
      <w:t>38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82C85" w:rsidRPr="00156A4F" w:rsidRDefault="0069773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85" w:rsidRPr="007226DB" w:rsidRDefault="0069773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82C85" w:rsidRPr="007226DB" w:rsidRDefault="0069773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B1"/>
    <w:rsid w:val="00034BBD"/>
    <w:rsid w:val="0062675A"/>
    <w:rsid w:val="00697735"/>
    <w:rsid w:val="00A62A12"/>
    <w:rsid w:val="00D652FB"/>
    <w:rsid w:val="00F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62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5A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626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2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62A12"/>
  </w:style>
  <w:style w:type="paragraph" w:styleId="a6">
    <w:name w:val="Balloon Text"/>
    <w:basedOn w:val="a"/>
    <w:link w:val="a7"/>
    <w:uiPriority w:val="99"/>
    <w:semiHidden/>
    <w:unhideWhenUsed/>
    <w:rsid w:val="00A6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A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62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5A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626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2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62A12"/>
  </w:style>
  <w:style w:type="paragraph" w:styleId="a6">
    <w:name w:val="Balloon Text"/>
    <w:basedOn w:val="a"/>
    <w:link w:val="a7"/>
    <w:uiPriority w:val="99"/>
    <w:semiHidden/>
    <w:unhideWhenUsed/>
    <w:rsid w:val="00A6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A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4267-E51E-4910-9FB6-924F6D44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8246</Words>
  <Characters>47006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Бурлы</dc:creator>
  <cp:keywords/>
  <dc:description/>
  <cp:lastModifiedBy>АСП Бурлы</cp:lastModifiedBy>
  <cp:revision>4</cp:revision>
  <cp:lastPrinted>2021-12-27T05:40:00Z</cp:lastPrinted>
  <dcterms:created xsi:type="dcterms:W3CDTF">2021-12-27T04:26:00Z</dcterms:created>
  <dcterms:modified xsi:type="dcterms:W3CDTF">2021-12-27T05:45:00Z</dcterms:modified>
</cp:coreProperties>
</file>